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B64D" w14:textId="2289E96E" w:rsidR="00395A85" w:rsidRPr="00395A85" w:rsidRDefault="00395A85" w:rsidP="00637067">
      <w:pPr>
        <w:spacing w:line="360" w:lineRule="auto"/>
        <w:jc w:val="center"/>
        <w:rPr>
          <w:bCs/>
        </w:rPr>
      </w:pPr>
      <w:r w:rsidRPr="00395A85">
        <w:rPr>
          <w:bCs/>
        </w:rPr>
        <w:t xml:space="preserve">TOWN AND COUNTRY PLANNING ACT 1990 </w:t>
      </w:r>
      <w:r w:rsidR="00637067">
        <w:rPr>
          <w:bCs/>
        </w:rPr>
        <w:t>SECTION 77</w:t>
      </w:r>
    </w:p>
    <w:p w14:paraId="19637680" w14:textId="05D85486" w:rsidR="00395A85" w:rsidRDefault="00395A85" w:rsidP="00395A85">
      <w:pPr>
        <w:spacing w:line="360" w:lineRule="auto"/>
        <w:jc w:val="center"/>
        <w:rPr>
          <w:bCs/>
        </w:rPr>
      </w:pPr>
      <w:r w:rsidRPr="00395A85">
        <w:rPr>
          <w:bCs/>
        </w:rPr>
        <w:t>TOWN AND COUNTRY PLANNING (INQUIRIES PROCEDURE) (ENGLAND) RULES 2000</w:t>
      </w:r>
    </w:p>
    <w:p w14:paraId="572F524C" w14:textId="77777777" w:rsidR="00637067" w:rsidRPr="00395A85" w:rsidRDefault="00637067" w:rsidP="00395A85">
      <w:pPr>
        <w:spacing w:line="360" w:lineRule="auto"/>
        <w:jc w:val="center"/>
        <w:rPr>
          <w:bCs/>
        </w:rPr>
      </w:pPr>
    </w:p>
    <w:p w14:paraId="1A7393B3" w14:textId="4D752199" w:rsidR="00395A85" w:rsidRDefault="00395A85" w:rsidP="00637067">
      <w:pPr>
        <w:spacing w:line="360" w:lineRule="auto"/>
        <w:jc w:val="center"/>
        <w:rPr>
          <w:bCs/>
        </w:rPr>
      </w:pPr>
      <w:r w:rsidRPr="00395A85">
        <w:rPr>
          <w:bCs/>
        </w:rPr>
        <w:t xml:space="preserve">APPLICATION REFERENCE 4/17/9007 FOR DEVELOPMENT OF A NEW UNDERGROUND METALLURGICAL COAL MINE AND ASSOCIATED DEVELOPMENT AT FORMER MARCHON SITE, POW BECK VALLEY AND AREA FROM MARCHON SITE TO ST BEES COAST, WHITEHAVEN, CUMBRIA </w:t>
      </w:r>
    </w:p>
    <w:p w14:paraId="2196CB51" w14:textId="77777777" w:rsidR="00637067" w:rsidRPr="00395A85" w:rsidRDefault="00637067" w:rsidP="00637067">
      <w:pPr>
        <w:spacing w:line="360" w:lineRule="auto"/>
        <w:jc w:val="center"/>
        <w:rPr>
          <w:bCs/>
        </w:rPr>
      </w:pPr>
    </w:p>
    <w:p w14:paraId="5EF5F60B" w14:textId="20572875" w:rsidR="00395A85" w:rsidRDefault="00395A85" w:rsidP="00637067">
      <w:pPr>
        <w:spacing w:line="360" w:lineRule="auto"/>
        <w:jc w:val="center"/>
        <w:rPr>
          <w:bCs/>
        </w:rPr>
      </w:pPr>
      <w:r w:rsidRPr="00395A85">
        <w:rPr>
          <w:bCs/>
        </w:rPr>
        <w:t>PINS REFERENCE: APP/H0900/V/21/3271069</w:t>
      </w:r>
    </w:p>
    <w:p w14:paraId="4AB7E4F3" w14:textId="0BD70CF5" w:rsidR="00637067" w:rsidRDefault="00637067" w:rsidP="00637067">
      <w:pPr>
        <w:pBdr>
          <w:bottom w:val="single" w:sz="12" w:space="1" w:color="auto"/>
        </w:pBdr>
        <w:spacing w:line="360" w:lineRule="auto"/>
        <w:jc w:val="center"/>
        <w:rPr>
          <w:bCs/>
        </w:rPr>
      </w:pPr>
    </w:p>
    <w:p w14:paraId="58D15DA8" w14:textId="7302D124" w:rsidR="00637067" w:rsidRDefault="00637067" w:rsidP="00637067">
      <w:pPr>
        <w:jc w:val="center"/>
        <w:rPr>
          <w:b/>
        </w:rPr>
      </w:pPr>
    </w:p>
    <w:p w14:paraId="4E1E4D7C" w14:textId="3CB812E6" w:rsidR="00637067" w:rsidRDefault="00637067" w:rsidP="00637067">
      <w:pPr>
        <w:pBdr>
          <w:bottom w:val="single" w:sz="12" w:space="1" w:color="auto"/>
        </w:pBdr>
        <w:jc w:val="center"/>
        <w:rPr>
          <w:b/>
        </w:rPr>
      </w:pPr>
      <w:r>
        <w:rPr>
          <w:b/>
        </w:rPr>
        <w:t>OPENING STATEMENT ON BEHALF OF CUMBRIA COUNTY COUNCIL</w:t>
      </w:r>
    </w:p>
    <w:p w14:paraId="7CB9D1E0" w14:textId="77777777" w:rsidR="00637067" w:rsidRDefault="00637067" w:rsidP="00637067">
      <w:pPr>
        <w:pBdr>
          <w:bottom w:val="single" w:sz="12" w:space="1" w:color="auto"/>
        </w:pBdr>
        <w:jc w:val="center"/>
        <w:rPr>
          <w:b/>
        </w:rPr>
      </w:pPr>
    </w:p>
    <w:p w14:paraId="6F27D822" w14:textId="669B82C4" w:rsidR="00637067" w:rsidRDefault="00637067" w:rsidP="00637067">
      <w:pPr>
        <w:spacing w:line="360" w:lineRule="auto"/>
        <w:jc w:val="both"/>
        <w:rPr>
          <w:bCs/>
        </w:rPr>
      </w:pPr>
    </w:p>
    <w:p w14:paraId="07E02857" w14:textId="42F18FFC" w:rsidR="00F834FA" w:rsidRDefault="000A7621" w:rsidP="00F441BA">
      <w:pPr>
        <w:pStyle w:val="ListParagraph"/>
        <w:numPr>
          <w:ilvl w:val="0"/>
          <w:numId w:val="1"/>
        </w:numPr>
        <w:spacing w:line="360" w:lineRule="auto"/>
        <w:jc w:val="both"/>
        <w:rPr>
          <w:bCs/>
        </w:rPr>
      </w:pPr>
      <w:r>
        <w:rPr>
          <w:bCs/>
        </w:rPr>
        <w:t>Since its original submission in 2017 t</w:t>
      </w:r>
      <w:r w:rsidR="00F441BA">
        <w:rPr>
          <w:bCs/>
        </w:rPr>
        <w:t>h</w:t>
      </w:r>
      <w:r>
        <w:rPr>
          <w:bCs/>
        </w:rPr>
        <w:t>e</w:t>
      </w:r>
      <w:r w:rsidR="00F441BA">
        <w:rPr>
          <w:bCs/>
        </w:rPr>
        <w:t xml:space="preserve"> application has</w:t>
      </w:r>
      <w:r>
        <w:rPr>
          <w:bCs/>
        </w:rPr>
        <w:t xml:space="preserve"> had</w:t>
      </w:r>
      <w:r w:rsidR="00F441BA">
        <w:rPr>
          <w:bCs/>
        </w:rPr>
        <w:t xml:space="preserve"> a long and protracted history </w:t>
      </w:r>
      <w:r>
        <w:rPr>
          <w:bCs/>
        </w:rPr>
        <w:t xml:space="preserve">leading up to this </w:t>
      </w:r>
      <w:r w:rsidR="00F441BA">
        <w:rPr>
          <w:bCs/>
        </w:rPr>
        <w:t>inquiry. The complexity of the project</w:t>
      </w:r>
      <w:r w:rsidR="004C3FDC">
        <w:rPr>
          <w:bCs/>
        </w:rPr>
        <w:t>, amendments to it over time, the ever</w:t>
      </w:r>
      <w:r w:rsidR="00F834FA">
        <w:rPr>
          <w:bCs/>
        </w:rPr>
        <w:t>-</w:t>
      </w:r>
      <w:r w:rsidR="004C3FDC">
        <w:rPr>
          <w:bCs/>
        </w:rPr>
        <w:t xml:space="preserve">evolving </w:t>
      </w:r>
      <w:r>
        <w:rPr>
          <w:bCs/>
        </w:rPr>
        <w:t xml:space="preserve">debate concerning how to tackle </w:t>
      </w:r>
      <w:r w:rsidR="004C3FDC">
        <w:rPr>
          <w:bCs/>
        </w:rPr>
        <w:t>climate change and the controversy of the proposals</w:t>
      </w:r>
      <w:r w:rsidR="00F834FA">
        <w:rPr>
          <w:bCs/>
        </w:rPr>
        <w:t>,</w:t>
      </w:r>
      <w:r w:rsidR="004C3FDC">
        <w:rPr>
          <w:bCs/>
        </w:rPr>
        <w:t xml:space="preserve"> reflected </w:t>
      </w:r>
      <w:r w:rsidR="00F834FA">
        <w:rPr>
          <w:bCs/>
        </w:rPr>
        <w:t xml:space="preserve">in strong support from some quarters but vehement opposition from others, </w:t>
      </w:r>
      <w:r w:rsidR="00F441BA">
        <w:rPr>
          <w:bCs/>
        </w:rPr>
        <w:t xml:space="preserve">has presented </w:t>
      </w:r>
      <w:r w:rsidR="00821773">
        <w:rPr>
          <w:bCs/>
        </w:rPr>
        <w:t xml:space="preserve">the Council </w:t>
      </w:r>
      <w:r w:rsidR="004C3FDC">
        <w:rPr>
          <w:bCs/>
        </w:rPr>
        <w:t xml:space="preserve">as mineral planning authority with no easy task. The measure of </w:t>
      </w:r>
      <w:r w:rsidR="00F834FA">
        <w:rPr>
          <w:bCs/>
        </w:rPr>
        <w:t>that task may be gauged by the fact that, in the course of its consideration of the application, the Council has been subject to not just one but two sets of proceedings for judicial review, one from an opponent of the mine and one from WCM itself.</w:t>
      </w:r>
    </w:p>
    <w:p w14:paraId="48051F10" w14:textId="1B6755EA" w:rsidR="00F834FA" w:rsidRDefault="00F834FA" w:rsidP="00F834FA">
      <w:pPr>
        <w:pStyle w:val="ListParagraph"/>
        <w:spacing w:line="360" w:lineRule="auto"/>
        <w:jc w:val="both"/>
        <w:rPr>
          <w:bCs/>
        </w:rPr>
      </w:pPr>
    </w:p>
    <w:p w14:paraId="1BE6229C" w14:textId="5D4613C6" w:rsidR="004C3FDC" w:rsidRDefault="004C3FDC" w:rsidP="00F441BA">
      <w:pPr>
        <w:pStyle w:val="ListParagraph"/>
        <w:numPr>
          <w:ilvl w:val="0"/>
          <w:numId w:val="1"/>
        </w:numPr>
        <w:spacing w:line="360" w:lineRule="auto"/>
        <w:jc w:val="both"/>
        <w:rPr>
          <w:bCs/>
        </w:rPr>
      </w:pPr>
      <w:r>
        <w:rPr>
          <w:bCs/>
        </w:rPr>
        <w:t xml:space="preserve">But the decision is now out of </w:t>
      </w:r>
      <w:r w:rsidR="00F834FA">
        <w:rPr>
          <w:bCs/>
        </w:rPr>
        <w:t>the Council’s</w:t>
      </w:r>
      <w:r>
        <w:rPr>
          <w:bCs/>
        </w:rPr>
        <w:t xml:space="preserve"> hands and rests with the Secretary of State</w:t>
      </w:r>
      <w:r w:rsidR="00F834FA">
        <w:rPr>
          <w:bCs/>
        </w:rPr>
        <w:t xml:space="preserve"> who</w:t>
      </w:r>
      <w:r w:rsidR="000A7621">
        <w:rPr>
          <w:bCs/>
        </w:rPr>
        <w:t xml:space="preserve"> will</w:t>
      </w:r>
      <w:r w:rsidR="00F834FA">
        <w:rPr>
          <w:bCs/>
        </w:rPr>
        <w:t xml:space="preserve">, following this inquiry, </w:t>
      </w:r>
      <w:r w:rsidR="000A7621">
        <w:rPr>
          <w:bCs/>
        </w:rPr>
        <w:t xml:space="preserve">have to </w:t>
      </w:r>
      <w:r w:rsidR="00F834FA">
        <w:rPr>
          <w:bCs/>
        </w:rPr>
        <w:t>grapple with the considerations which have previously taxed the Council</w:t>
      </w:r>
      <w:r w:rsidR="00980248">
        <w:rPr>
          <w:bCs/>
        </w:rPr>
        <w:t xml:space="preserve"> </w:t>
      </w:r>
      <w:r w:rsidR="0014220B">
        <w:rPr>
          <w:bCs/>
        </w:rPr>
        <w:t xml:space="preserve">and the </w:t>
      </w:r>
      <w:r w:rsidR="00980248">
        <w:rPr>
          <w:bCs/>
        </w:rPr>
        <w:t>fresh considerations arising since.</w:t>
      </w:r>
    </w:p>
    <w:p w14:paraId="40776A5F" w14:textId="08318611" w:rsidR="00F441BA" w:rsidRPr="004C3FDC" w:rsidRDefault="004C3FDC" w:rsidP="004C3FDC">
      <w:pPr>
        <w:pStyle w:val="ListParagraph"/>
        <w:spacing w:line="360" w:lineRule="auto"/>
        <w:jc w:val="both"/>
        <w:rPr>
          <w:bCs/>
        </w:rPr>
      </w:pPr>
      <w:r>
        <w:rPr>
          <w:bCs/>
        </w:rPr>
        <w:t xml:space="preserve"> </w:t>
      </w:r>
    </w:p>
    <w:p w14:paraId="27B897DF" w14:textId="21B3045E" w:rsidR="004C3FDC" w:rsidRDefault="004C3FDC" w:rsidP="00F441BA">
      <w:pPr>
        <w:pStyle w:val="ListParagraph"/>
        <w:numPr>
          <w:ilvl w:val="0"/>
          <w:numId w:val="1"/>
        </w:numPr>
        <w:spacing w:line="360" w:lineRule="auto"/>
        <w:jc w:val="both"/>
        <w:rPr>
          <w:bCs/>
        </w:rPr>
      </w:pPr>
      <w:r>
        <w:rPr>
          <w:bCs/>
        </w:rPr>
        <w:t>The application</w:t>
      </w:r>
      <w:r w:rsidR="00F834FA">
        <w:rPr>
          <w:bCs/>
        </w:rPr>
        <w:t>, as participants in this inquiry are no doubt already well aware,</w:t>
      </w:r>
      <w:r>
        <w:rPr>
          <w:bCs/>
        </w:rPr>
        <w:t xml:space="preserve"> </w:t>
      </w:r>
      <w:r w:rsidR="00B845DB">
        <w:rPr>
          <w:bCs/>
        </w:rPr>
        <w:t xml:space="preserve">has </w:t>
      </w:r>
      <w:r>
        <w:rPr>
          <w:bCs/>
        </w:rPr>
        <w:t xml:space="preserve">been considered by the Council’s Development Control and Regulation Committee </w:t>
      </w:r>
      <w:r w:rsidR="00821773">
        <w:rPr>
          <w:bCs/>
        </w:rPr>
        <w:t xml:space="preserve">(“the Committee”) </w:t>
      </w:r>
      <w:r>
        <w:rPr>
          <w:bCs/>
        </w:rPr>
        <w:t>on no fewer than three occasions. On each occasio</w:t>
      </w:r>
      <w:r w:rsidR="00F834FA">
        <w:rPr>
          <w:bCs/>
        </w:rPr>
        <w:t>n</w:t>
      </w:r>
      <w:r>
        <w:rPr>
          <w:bCs/>
        </w:rPr>
        <w:t xml:space="preserve"> </w:t>
      </w:r>
      <w:r w:rsidR="00F834FA">
        <w:rPr>
          <w:bCs/>
        </w:rPr>
        <w:t>(19</w:t>
      </w:r>
      <w:r w:rsidR="00F834FA" w:rsidRPr="00F834FA">
        <w:rPr>
          <w:bCs/>
          <w:vertAlign w:val="superscript"/>
        </w:rPr>
        <w:t>th</w:t>
      </w:r>
      <w:r w:rsidR="00F834FA">
        <w:rPr>
          <w:bCs/>
        </w:rPr>
        <w:t xml:space="preserve"> March 2019, 31</w:t>
      </w:r>
      <w:r w:rsidR="00F834FA" w:rsidRPr="00F834FA">
        <w:rPr>
          <w:bCs/>
          <w:vertAlign w:val="superscript"/>
        </w:rPr>
        <w:t>st</w:t>
      </w:r>
      <w:r w:rsidR="00F834FA">
        <w:rPr>
          <w:bCs/>
        </w:rPr>
        <w:t xml:space="preserve"> October </w:t>
      </w:r>
      <w:r w:rsidR="0066530A">
        <w:rPr>
          <w:bCs/>
        </w:rPr>
        <w:t>2019 and 2</w:t>
      </w:r>
      <w:r w:rsidR="0066530A" w:rsidRPr="0066530A">
        <w:rPr>
          <w:bCs/>
          <w:vertAlign w:val="superscript"/>
        </w:rPr>
        <w:t>nd</w:t>
      </w:r>
      <w:r w:rsidR="0066530A">
        <w:rPr>
          <w:bCs/>
        </w:rPr>
        <w:t xml:space="preserve"> October 2020) </w:t>
      </w:r>
      <w:r w:rsidR="00F834FA">
        <w:rPr>
          <w:bCs/>
        </w:rPr>
        <w:t>the Committee</w:t>
      </w:r>
      <w:r>
        <w:rPr>
          <w:bCs/>
        </w:rPr>
        <w:t xml:space="preserve"> resolved to support the </w:t>
      </w:r>
      <w:r>
        <w:rPr>
          <w:bCs/>
        </w:rPr>
        <w:lastRenderedPageBreak/>
        <w:t>application.</w:t>
      </w:r>
      <w:r w:rsidR="00821773">
        <w:rPr>
          <w:bCs/>
        </w:rPr>
        <w:t xml:space="preserve"> For various reasons these resolutions never resulted in the issue of a </w:t>
      </w:r>
      <w:r w:rsidR="000A7621">
        <w:rPr>
          <w:bCs/>
        </w:rPr>
        <w:t xml:space="preserve">planning </w:t>
      </w:r>
      <w:r w:rsidR="00821773">
        <w:rPr>
          <w:bCs/>
        </w:rPr>
        <w:t>permission.</w:t>
      </w:r>
    </w:p>
    <w:p w14:paraId="1F309B2E" w14:textId="77777777" w:rsidR="00F834FA" w:rsidRPr="00F834FA" w:rsidRDefault="00F834FA" w:rsidP="0066530A">
      <w:pPr>
        <w:pStyle w:val="ListParagraph"/>
        <w:spacing w:line="360" w:lineRule="auto"/>
        <w:rPr>
          <w:bCs/>
        </w:rPr>
      </w:pPr>
    </w:p>
    <w:p w14:paraId="5DA507FF" w14:textId="65A00B51" w:rsidR="00F834FA" w:rsidRDefault="00821773" w:rsidP="00F441BA">
      <w:pPr>
        <w:pStyle w:val="ListParagraph"/>
        <w:numPr>
          <w:ilvl w:val="0"/>
          <w:numId w:val="1"/>
        </w:numPr>
        <w:spacing w:line="360" w:lineRule="auto"/>
        <w:jc w:val="both"/>
        <w:rPr>
          <w:bCs/>
        </w:rPr>
      </w:pPr>
      <w:r>
        <w:rPr>
          <w:bCs/>
        </w:rPr>
        <w:t>Most recently, following amendments to the application by WCM to remove “middlings coal” from the project and the submission by the company of an additional greenhouse gas assessment, the Committee considered the application on 2</w:t>
      </w:r>
      <w:r w:rsidRPr="00821773">
        <w:rPr>
          <w:bCs/>
          <w:vertAlign w:val="superscript"/>
        </w:rPr>
        <w:t>nd</w:t>
      </w:r>
      <w:r>
        <w:rPr>
          <w:bCs/>
        </w:rPr>
        <w:t xml:space="preserve"> October 2020 and resolved again to support it.</w:t>
      </w:r>
    </w:p>
    <w:p w14:paraId="50A8CC90" w14:textId="77777777" w:rsidR="00821773" w:rsidRPr="00821773" w:rsidRDefault="00821773" w:rsidP="00821773">
      <w:pPr>
        <w:pStyle w:val="ListParagraph"/>
        <w:spacing w:line="360" w:lineRule="auto"/>
        <w:rPr>
          <w:bCs/>
        </w:rPr>
      </w:pPr>
    </w:p>
    <w:p w14:paraId="47DEFD50" w14:textId="1FD368A5" w:rsidR="00821773" w:rsidRDefault="00980248" w:rsidP="00F441BA">
      <w:pPr>
        <w:pStyle w:val="ListParagraph"/>
        <w:numPr>
          <w:ilvl w:val="0"/>
          <w:numId w:val="1"/>
        </w:numPr>
        <w:spacing w:line="360" w:lineRule="auto"/>
        <w:jc w:val="both"/>
        <w:rPr>
          <w:bCs/>
        </w:rPr>
      </w:pPr>
      <w:r>
        <w:rPr>
          <w:bCs/>
        </w:rPr>
        <w:t xml:space="preserve">However, </w:t>
      </w:r>
      <w:r w:rsidR="000A7621">
        <w:rPr>
          <w:bCs/>
        </w:rPr>
        <w:t xml:space="preserve">the Council was legally unable to issue the planning permission following that resolution </w:t>
      </w:r>
      <w:r w:rsidR="00821773">
        <w:rPr>
          <w:bCs/>
        </w:rPr>
        <w:t xml:space="preserve"> because a</w:t>
      </w:r>
      <w:r w:rsidR="00B9546C">
        <w:rPr>
          <w:bCs/>
        </w:rPr>
        <w:t xml:space="preserve"> </w:t>
      </w:r>
      <w:r w:rsidR="00285C97">
        <w:rPr>
          <w:bCs/>
        </w:rPr>
        <w:t xml:space="preserve"> direction from the Secretary of State was in place </w:t>
      </w:r>
      <w:r w:rsidR="00B9546C">
        <w:rPr>
          <w:bCs/>
        </w:rPr>
        <w:t xml:space="preserve">which prevented this from happening </w:t>
      </w:r>
      <w:r w:rsidR="00285C97">
        <w:rPr>
          <w:bCs/>
        </w:rPr>
        <w:t xml:space="preserve"> and, moreover, </w:t>
      </w:r>
      <w:r w:rsidR="00B9546C">
        <w:rPr>
          <w:bCs/>
        </w:rPr>
        <w:t xml:space="preserve">a [section 106] legal agreement to secure various planning obligations </w:t>
      </w:r>
      <w:r w:rsidR="00285C97">
        <w:rPr>
          <w:bCs/>
        </w:rPr>
        <w:t xml:space="preserve"> had not been completed.</w:t>
      </w:r>
    </w:p>
    <w:p w14:paraId="6239B6D1" w14:textId="77777777" w:rsidR="00285C97" w:rsidRPr="00285C97" w:rsidRDefault="00285C97" w:rsidP="00285C97">
      <w:pPr>
        <w:pStyle w:val="ListParagraph"/>
        <w:spacing w:line="360" w:lineRule="auto"/>
        <w:rPr>
          <w:bCs/>
        </w:rPr>
      </w:pPr>
    </w:p>
    <w:p w14:paraId="69E71C68" w14:textId="3384C38C" w:rsidR="00285C97" w:rsidRDefault="00285C97" w:rsidP="00F441BA">
      <w:pPr>
        <w:pStyle w:val="ListParagraph"/>
        <w:numPr>
          <w:ilvl w:val="0"/>
          <w:numId w:val="1"/>
        </w:numPr>
        <w:spacing w:line="360" w:lineRule="auto"/>
        <w:jc w:val="both"/>
        <w:rPr>
          <w:bCs/>
        </w:rPr>
      </w:pPr>
      <w:r>
        <w:rPr>
          <w:bCs/>
        </w:rPr>
        <w:t>Those factors remained unchanged when, in December 2020</w:t>
      </w:r>
      <w:r w:rsidR="00980248">
        <w:rPr>
          <w:bCs/>
        </w:rPr>
        <w:t>,</w:t>
      </w:r>
      <w:r>
        <w:rPr>
          <w:bCs/>
        </w:rPr>
        <w:t xml:space="preserve"> the Climate Change Committee published its Report on the Sixth Carbon Budget</w:t>
      </w:r>
      <w:r w:rsidR="00980248">
        <w:rPr>
          <w:bCs/>
        </w:rPr>
        <w:t xml:space="preserve"> </w:t>
      </w:r>
      <w:r w:rsidR="009F3451">
        <w:rPr>
          <w:bCs/>
        </w:rPr>
        <w:t>but b</w:t>
      </w:r>
      <w:r w:rsidR="00B845DB">
        <w:rPr>
          <w:bCs/>
        </w:rPr>
        <w:t xml:space="preserve">y the end of January 2021 the Council would have been in a position to issue </w:t>
      </w:r>
      <w:r w:rsidR="00B9546C">
        <w:rPr>
          <w:bCs/>
        </w:rPr>
        <w:t>the planning permission</w:t>
      </w:r>
      <w:r w:rsidR="00B845DB">
        <w:rPr>
          <w:bCs/>
        </w:rPr>
        <w:t xml:space="preserve"> because the direction had </w:t>
      </w:r>
      <w:r w:rsidR="009F3451">
        <w:rPr>
          <w:bCs/>
        </w:rPr>
        <w:t xml:space="preserve">then </w:t>
      </w:r>
      <w:r w:rsidR="00B845DB">
        <w:rPr>
          <w:bCs/>
        </w:rPr>
        <w:t>been lifted and the section 106 agreement had been completed to the point where all that was required was execution of it by the Council.</w:t>
      </w:r>
    </w:p>
    <w:p w14:paraId="1FF8BCA2" w14:textId="12B17949" w:rsidR="00B845DB" w:rsidRPr="00B845DB" w:rsidRDefault="00B845DB" w:rsidP="00B845DB">
      <w:pPr>
        <w:pStyle w:val="ListParagraph"/>
        <w:spacing w:line="360" w:lineRule="auto"/>
        <w:rPr>
          <w:bCs/>
        </w:rPr>
      </w:pPr>
    </w:p>
    <w:p w14:paraId="664CAB86" w14:textId="074E978C" w:rsidR="009A054B" w:rsidRDefault="00B845DB" w:rsidP="00F441BA">
      <w:pPr>
        <w:pStyle w:val="ListParagraph"/>
        <w:numPr>
          <w:ilvl w:val="0"/>
          <w:numId w:val="1"/>
        </w:numPr>
        <w:spacing w:line="360" w:lineRule="auto"/>
        <w:jc w:val="both"/>
        <w:rPr>
          <w:bCs/>
        </w:rPr>
      </w:pPr>
      <w:r>
        <w:rPr>
          <w:bCs/>
        </w:rPr>
        <w:t xml:space="preserve">However, the Council was now faced with the </w:t>
      </w:r>
      <w:r w:rsidR="00B9546C">
        <w:rPr>
          <w:bCs/>
        </w:rPr>
        <w:t>dilemma</w:t>
      </w:r>
      <w:r>
        <w:rPr>
          <w:bCs/>
        </w:rPr>
        <w:t xml:space="preserve"> whether, in the light of the Sixth Carbon Budget Report, it was appropriate that it should refer the application back to the Committee in order to consider whether the Report affected its previous resolutions. After careful consideration,</w:t>
      </w:r>
      <w:r w:rsidR="009F3451">
        <w:rPr>
          <w:bCs/>
        </w:rPr>
        <w:t xml:space="preserve"> </w:t>
      </w:r>
      <w:r>
        <w:rPr>
          <w:bCs/>
        </w:rPr>
        <w:t xml:space="preserve">the Council’s Executive Director </w:t>
      </w:r>
      <w:r w:rsidR="009A054B">
        <w:rPr>
          <w:bCs/>
        </w:rPr>
        <w:t xml:space="preserve">Economy and Infrastructure </w:t>
      </w:r>
      <w:r>
        <w:rPr>
          <w:bCs/>
        </w:rPr>
        <w:t xml:space="preserve">decided </w:t>
      </w:r>
      <w:r w:rsidR="009F3451">
        <w:rPr>
          <w:bCs/>
        </w:rPr>
        <w:t>on 8</w:t>
      </w:r>
      <w:r w:rsidR="009F3451" w:rsidRPr="009F3451">
        <w:rPr>
          <w:bCs/>
          <w:vertAlign w:val="superscript"/>
        </w:rPr>
        <w:t>th</w:t>
      </w:r>
      <w:r w:rsidR="009F3451">
        <w:rPr>
          <w:bCs/>
        </w:rPr>
        <w:t xml:space="preserve"> February 2021 </w:t>
      </w:r>
      <w:r>
        <w:rPr>
          <w:bCs/>
        </w:rPr>
        <w:t xml:space="preserve">(in </w:t>
      </w:r>
      <w:r w:rsidR="009A054B">
        <w:rPr>
          <w:bCs/>
        </w:rPr>
        <w:t xml:space="preserve">due accordance with her delegated powers </w:t>
      </w:r>
      <w:r w:rsidR="003736A8">
        <w:rPr>
          <w:bCs/>
        </w:rPr>
        <w:t xml:space="preserve">under the Council’s Constitution </w:t>
      </w:r>
      <w:r w:rsidR="009A054B">
        <w:rPr>
          <w:bCs/>
        </w:rPr>
        <w:t>and entirely reasonably in the circumstances) that the application should be referred back to the Committee for reconsideration.</w:t>
      </w:r>
    </w:p>
    <w:p w14:paraId="265D10E4" w14:textId="77777777" w:rsidR="009A054B" w:rsidRPr="009F3451" w:rsidRDefault="009A054B" w:rsidP="009F3451">
      <w:pPr>
        <w:spacing w:line="360" w:lineRule="auto"/>
        <w:rPr>
          <w:bCs/>
        </w:rPr>
      </w:pPr>
    </w:p>
    <w:p w14:paraId="20A2E46C" w14:textId="7191EE74" w:rsidR="00980248" w:rsidRDefault="009A054B" w:rsidP="00980248">
      <w:pPr>
        <w:pStyle w:val="ListParagraph"/>
        <w:numPr>
          <w:ilvl w:val="0"/>
          <w:numId w:val="1"/>
        </w:numPr>
        <w:spacing w:line="360" w:lineRule="auto"/>
        <w:jc w:val="both"/>
        <w:rPr>
          <w:bCs/>
        </w:rPr>
      </w:pPr>
      <w:r>
        <w:rPr>
          <w:bCs/>
        </w:rPr>
        <w:t>The events that then unfolded overtook that decision with remarkable rapidity. WCM instituted judicial review proceedings on 5</w:t>
      </w:r>
      <w:r w:rsidRPr="009A054B">
        <w:rPr>
          <w:bCs/>
          <w:vertAlign w:val="superscript"/>
        </w:rPr>
        <w:t>th</w:t>
      </w:r>
      <w:r>
        <w:rPr>
          <w:bCs/>
        </w:rPr>
        <w:t xml:space="preserve"> March 2021 challenging the decision to refer the application back to the Committee. </w:t>
      </w:r>
      <w:r w:rsidR="001A386C">
        <w:rPr>
          <w:bCs/>
        </w:rPr>
        <w:t xml:space="preserve">However </w:t>
      </w:r>
      <w:r w:rsidR="00980248">
        <w:rPr>
          <w:bCs/>
        </w:rPr>
        <w:t xml:space="preserve">on </w:t>
      </w:r>
      <w:r>
        <w:rPr>
          <w:bCs/>
        </w:rPr>
        <w:t>11</w:t>
      </w:r>
      <w:r w:rsidRPr="009A054B">
        <w:rPr>
          <w:bCs/>
          <w:vertAlign w:val="superscript"/>
        </w:rPr>
        <w:t>th</w:t>
      </w:r>
      <w:r>
        <w:rPr>
          <w:bCs/>
        </w:rPr>
        <w:t xml:space="preserve"> March 2021 the Secretary of State</w:t>
      </w:r>
      <w:r w:rsidR="00980248">
        <w:rPr>
          <w:bCs/>
        </w:rPr>
        <w:t xml:space="preserve"> </w:t>
      </w:r>
      <w:r>
        <w:rPr>
          <w:bCs/>
        </w:rPr>
        <w:t xml:space="preserve">decided that the application should be </w:t>
      </w:r>
      <w:r w:rsidR="007C4924">
        <w:rPr>
          <w:bCs/>
        </w:rPr>
        <w:t>called-in</w:t>
      </w:r>
      <w:r w:rsidR="00B9546C">
        <w:rPr>
          <w:bCs/>
        </w:rPr>
        <w:t xml:space="preserve"> meaning that from that date the fate of the application is now </w:t>
      </w:r>
      <w:r w:rsidR="0014220B">
        <w:rPr>
          <w:bCs/>
        </w:rPr>
        <w:t xml:space="preserve">entirely </w:t>
      </w:r>
      <w:r w:rsidR="00B9546C">
        <w:rPr>
          <w:bCs/>
        </w:rPr>
        <w:t>for him, and not the Council, to decide</w:t>
      </w:r>
      <w:r>
        <w:rPr>
          <w:bCs/>
        </w:rPr>
        <w:t xml:space="preserve">. The call-in letter cited, </w:t>
      </w:r>
      <w:r w:rsidR="00B9546C">
        <w:rPr>
          <w:bCs/>
        </w:rPr>
        <w:t>among other things</w:t>
      </w:r>
      <w:r>
        <w:rPr>
          <w:bCs/>
        </w:rPr>
        <w:t>, both the</w:t>
      </w:r>
      <w:r w:rsidR="00980248">
        <w:rPr>
          <w:bCs/>
        </w:rPr>
        <w:t xml:space="preserve"> delay that the outcome of the litigation would cause to the determination of the application</w:t>
      </w:r>
      <w:r>
        <w:rPr>
          <w:bCs/>
        </w:rPr>
        <w:t xml:space="preserve"> </w:t>
      </w:r>
      <w:r w:rsidR="00980248">
        <w:rPr>
          <w:bCs/>
        </w:rPr>
        <w:t xml:space="preserve">were it not called-in and the fact </w:t>
      </w:r>
      <w:r w:rsidR="00980248">
        <w:rPr>
          <w:bCs/>
        </w:rPr>
        <w:lastRenderedPageBreak/>
        <w:t xml:space="preserve">that </w:t>
      </w:r>
      <w:r w:rsidR="007C4924">
        <w:rPr>
          <w:bCs/>
        </w:rPr>
        <w:t xml:space="preserve">the </w:t>
      </w:r>
      <w:r w:rsidR="00980248">
        <w:rPr>
          <w:bCs/>
        </w:rPr>
        <w:t xml:space="preserve">implications of the Sixth Carbon Budget Report for the application should be explored within a public inquiry. </w:t>
      </w:r>
      <w:r w:rsidR="0014220B">
        <w:rPr>
          <w:bCs/>
        </w:rPr>
        <w:t xml:space="preserve">Unsurprisingly, </w:t>
      </w:r>
      <w:r w:rsidR="00980248" w:rsidRPr="00980248">
        <w:rPr>
          <w:bCs/>
        </w:rPr>
        <w:t>WCM</w:t>
      </w:r>
      <w:r w:rsidR="00B9546C">
        <w:rPr>
          <w:bCs/>
        </w:rPr>
        <w:t xml:space="preserve"> then withdrew its </w:t>
      </w:r>
      <w:r w:rsidR="00980248" w:rsidRPr="00980248">
        <w:rPr>
          <w:bCs/>
        </w:rPr>
        <w:t>judicial review</w:t>
      </w:r>
      <w:r w:rsidR="00980248">
        <w:rPr>
          <w:bCs/>
        </w:rPr>
        <w:t>.</w:t>
      </w:r>
    </w:p>
    <w:p w14:paraId="2421CE04" w14:textId="77777777" w:rsidR="00980248" w:rsidRPr="003736A8" w:rsidRDefault="00980248" w:rsidP="007C4924">
      <w:pPr>
        <w:spacing w:line="360" w:lineRule="auto"/>
        <w:rPr>
          <w:bCs/>
        </w:rPr>
      </w:pPr>
    </w:p>
    <w:p w14:paraId="566F59A4" w14:textId="3046F3C4" w:rsidR="00980248" w:rsidRDefault="003736A8" w:rsidP="00980248">
      <w:pPr>
        <w:pStyle w:val="ListParagraph"/>
        <w:numPr>
          <w:ilvl w:val="0"/>
          <w:numId w:val="1"/>
        </w:numPr>
        <w:spacing w:line="360" w:lineRule="auto"/>
        <w:jc w:val="both"/>
        <w:rPr>
          <w:bCs/>
        </w:rPr>
      </w:pPr>
      <w:r>
        <w:rPr>
          <w:bCs/>
        </w:rPr>
        <w:t>Subsequently, i</w:t>
      </w:r>
      <w:r w:rsidR="00980248">
        <w:rPr>
          <w:bCs/>
        </w:rPr>
        <w:t xml:space="preserve">n decisions made </w:t>
      </w:r>
      <w:r w:rsidR="007737B9">
        <w:rPr>
          <w:bCs/>
        </w:rPr>
        <w:t xml:space="preserve">(again in due accordance with </w:t>
      </w:r>
      <w:r w:rsidR="001A386C">
        <w:rPr>
          <w:bCs/>
        </w:rPr>
        <w:t xml:space="preserve">the Executive Director’s </w:t>
      </w:r>
      <w:r w:rsidR="007737B9">
        <w:rPr>
          <w:bCs/>
        </w:rPr>
        <w:t>delegated powers</w:t>
      </w:r>
      <w:r>
        <w:rPr>
          <w:bCs/>
        </w:rPr>
        <w:t xml:space="preserve"> under the Council’s Constitution</w:t>
      </w:r>
      <w:r w:rsidR="007737B9">
        <w:rPr>
          <w:bCs/>
        </w:rPr>
        <w:t xml:space="preserve">) </w:t>
      </w:r>
      <w:r w:rsidR="00980248">
        <w:rPr>
          <w:bCs/>
        </w:rPr>
        <w:t xml:space="preserve">on </w:t>
      </w:r>
      <w:r w:rsidR="007737B9">
        <w:rPr>
          <w:bCs/>
        </w:rPr>
        <w:t>20</w:t>
      </w:r>
      <w:r w:rsidR="007737B9" w:rsidRPr="007737B9">
        <w:rPr>
          <w:bCs/>
          <w:vertAlign w:val="superscript"/>
        </w:rPr>
        <w:t>th</w:t>
      </w:r>
      <w:r w:rsidR="007737B9">
        <w:rPr>
          <w:bCs/>
        </w:rPr>
        <w:t xml:space="preserve"> April and 5</w:t>
      </w:r>
      <w:r w:rsidR="007737B9" w:rsidRPr="007737B9">
        <w:rPr>
          <w:bCs/>
          <w:vertAlign w:val="superscript"/>
        </w:rPr>
        <w:t>th</w:t>
      </w:r>
      <w:r w:rsidR="007737B9">
        <w:rPr>
          <w:bCs/>
        </w:rPr>
        <w:t xml:space="preserve"> May 2021 </w:t>
      </w:r>
      <w:r w:rsidR="001A386C">
        <w:rPr>
          <w:bCs/>
        </w:rPr>
        <w:t>it was c</w:t>
      </w:r>
      <w:r w:rsidR="007737B9">
        <w:rPr>
          <w:bCs/>
        </w:rPr>
        <w:t>oncluded that</w:t>
      </w:r>
      <w:r>
        <w:rPr>
          <w:bCs/>
        </w:rPr>
        <w:t>, in all the circumstances,</w:t>
      </w:r>
      <w:r w:rsidR="007737B9">
        <w:rPr>
          <w:bCs/>
        </w:rPr>
        <w:t xml:space="preserve"> </w:t>
      </w:r>
      <w:r w:rsidR="007737B9" w:rsidRPr="001A386C">
        <w:rPr>
          <w:bCs/>
          <w:u w:val="single"/>
        </w:rPr>
        <w:t>the Council’s position</w:t>
      </w:r>
      <w:r w:rsidR="007737B9">
        <w:rPr>
          <w:bCs/>
        </w:rPr>
        <w:t xml:space="preserve"> at the inquiry should be one of </w:t>
      </w:r>
      <w:r w:rsidR="007737B9" w:rsidRPr="008A7E20">
        <w:rPr>
          <w:b/>
        </w:rPr>
        <w:t>strict neutrality</w:t>
      </w:r>
      <w:r w:rsidR="007737B9">
        <w:rPr>
          <w:bCs/>
        </w:rPr>
        <w:t xml:space="preserve">, involving neither support for </w:t>
      </w:r>
      <w:r w:rsidR="00B9546C">
        <w:rPr>
          <w:bCs/>
        </w:rPr>
        <w:t>n</w:t>
      </w:r>
      <w:r w:rsidR="007737B9">
        <w:rPr>
          <w:bCs/>
        </w:rPr>
        <w:t>or opposition to the application</w:t>
      </w:r>
      <w:r>
        <w:rPr>
          <w:bCs/>
        </w:rPr>
        <w:t>,</w:t>
      </w:r>
      <w:r w:rsidR="007737B9">
        <w:rPr>
          <w:bCs/>
        </w:rPr>
        <w:t xml:space="preserve"> and that the Council would not participate </w:t>
      </w:r>
      <w:r>
        <w:rPr>
          <w:bCs/>
        </w:rPr>
        <w:t>substantively in the inquiry</w:t>
      </w:r>
      <w:r w:rsidR="007737B9">
        <w:rPr>
          <w:bCs/>
        </w:rPr>
        <w:t xml:space="preserve"> save by way of this opening statement and in the session devoted to conditions/the section 106 </w:t>
      </w:r>
      <w:r w:rsidR="003A22AD">
        <w:rPr>
          <w:bCs/>
        </w:rPr>
        <w:t>agreement</w:t>
      </w:r>
      <w:r w:rsidR="007737B9">
        <w:rPr>
          <w:bCs/>
        </w:rPr>
        <w:t>. This position, which remains entirely unchanged, has long since been communicated to all parties in the Council’s Statement of Case</w:t>
      </w:r>
      <w:r>
        <w:rPr>
          <w:bCs/>
        </w:rPr>
        <w:t xml:space="preserve">, </w:t>
      </w:r>
      <w:r w:rsidR="007737B9">
        <w:rPr>
          <w:bCs/>
        </w:rPr>
        <w:t>was reiterated at the case management conference on 7</w:t>
      </w:r>
      <w:r w:rsidR="007737B9" w:rsidRPr="007737B9">
        <w:rPr>
          <w:bCs/>
          <w:vertAlign w:val="superscript"/>
        </w:rPr>
        <w:t>th</w:t>
      </w:r>
      <w:r w:rsidR="007737B9">
        <w:rPr>
          <w:bCs/>
        </w:rPr>
        <w:t xml:space="preserve"> June 2021</w:t>
      </w:r>
      <w:r>
        <w:rPr>
          <w:bCs/>
        </w:rPr>
        <w:t xml:space="preserve"> and the inquiry timetable has been organised accordingly.</w:t>
      </w:r>
      <w:r w:rsidR="007737B9">
        <w:rPr>
          <w:bCs/>
        </w:rPr>
        <w:t xml:space="preserve"> </w:t>
      </w:r>
    </w:p>
    <w:p w14:paraId="01453AD3" w14:textId="77777777" w:rsidR="003736A8" w:rsidRPr="003736A8" w:rsidRDefault="003736A8" w:rsidP="003736A8">
      <w:pPr>
        <w:pStyle w:val="ListParagraph"/>
        <w:spacing w:line="360" w:lineRule="auto"/>
        <w:rPr>
          <w:bCs/>
        </w:rPr>
      </w:pPr>
    </w:p>
    <w:p w14:paraId="1BBEC982" w14:textId="6FB397FD" w:rsidR="003736A8" w:rsidRPr="00980248" w:rsidRDefault="003736A8" w:rsidP="00980248">
      <w:pPr>
        <w:pStyle w:val="ListParagraph"/>
        <w:numPr>
          <w:ilvl w:val="0"/>
          <w:numId w:val="1"/>
        </w:numPr>
        <w:spacing w:line="360" w:lineRule="auto"/>
        <w:jc w:val="both"/>
        <w:rPr>
          <w:bCs/>
        </w:rPr>
      </w:pPr>
      <w:r>
        <w:rPr>
          <w:bCs/>
        </w:rPr>
        <w:t xml:space="preserve">The Council will, however, be available throughout the inquiry to help you, Sir, with any queries which fall within the Council’s remit to answer. </w:t>
      </w:r>
    </w:p>
    <w:p w14:paraId="6FA70D6A" w14:textId="77777777" w:rsidR="004C3FDC" w:rsidRPr="004C3FDC" w:rsidRDefault="004C3FDC" w:rsidP="004C3FDC">
      <w:pPr>
        <w:pStyle w:val="ListParagraph"/>
        <w:rPr>
          <w:bCs/>
        </w:rPr>
      </w:pPr>
    </w:p>
    <w:p w14:paraId="76F48120" w14:textId="2D0DA8A5" w:rsidR="00637067" w:rsidRPr="003736A8" w:rsidRDefault="00637067" w:rsidP="003736A8">
      <w:pPr>
        <w:spacing w:line="360" w:lineRule="auto"/>
        <w:jc w:val="both"/>
        <w:rPr>
          <w:bCs/>
        </w:rPr>
      </w:pPr>
    </w:p>
    <w:p w14:paraId="1D19968B" w14:textId="4A1DFD62" w:rsidR="00395A85" w:rsidRDefault="0014220B" w:rsidP="003B323D">
      <w:pPr>
        <w:spacing w:line="360" w:lineRule="auto"/>
        <w:jc w:val="center"/>
        <w:rPr>
          <w:bCs/>
        </w:rPr>
      </w:pPr>
      <w:r>
        <w:rPr>
          <w:bCs/>
        </w:rPr>
        <w:t>Christopher Katkowski QC</w:t>
      </w:r>
    </w:p>
    <w:p w14:paraId="7B8E8252" w14:textId="6453BA7B" w:rsidR="0014220B" w:rsidRDefault="0014220B" w:rsidP="003B323D">
      <w:pPr>
        <w:spacing w:line="360" w:lineRule="auto"/>
        <w:jc w:val="center"/>
        <w:rPr>
          <w:bCs/>
        </w:rPr>
      </w:pPr>
      <w:r>
        <w:rPr>
          <w:bCs/>
        </w:rPr>
        <w:t>Alan Evans</w:t>
      </w:r>
    </w:p>
    <w:p w14:paraId="7B25E95B" w14:textId="0C108A72" w:rsidR="0014220B" w:rsidRDefault="0014220B" w:rsidP="003B323D">
      <w:pPr>
        <w:spacing w:line="360" w:lineRule="auto"/>
        <w:jc w:val="center"/>
        <w:rPr>
          <w:bCs/>
        </w:rPr>
      </w:pPr>
      <w:r>
        <w:rPr>
          <w:bCs/>
        </w:rPr>
        <w:t>7</w:t>
      </w:r>
      <w:r w:rsidRPr="008A7E20">
        <w:rPr>
          <w:bCs/>
          <w:vertAlign w:val="superscript"/>
        </w:rPr>
        <w:t>th</w:t>
      </w:r>
      <w:r>
        <w:rPr>
          <w:bCs/>
        </w:rPr>
        <w:t xml:space="preserve"> September 2021 </w:t>
      </w:r>
    </w:p>
    <w:p w14:paraId="4029CBB5" w14:textId="56DD60D3" w:rsidR="003B323D" w:rsidRDefault="003B323D" w:rsidP="00637067">
      <w:pPr>
        <w:spacing w:line="360" w:lineRule="auto"/>
        <w:rPr>
          <w:bCs/>
        </w:rPr>
      </w:pPr>
    </w:p>
    <w:p w14:paraId="19F4FDE2" w14:textId="77777777" w:rsidR="003B323D" w:rsidRDefault="003B323D" w:rsidP="003B323D">
      <w:pPr>
        <w:spacing w:line="360" w:lineRule="auto"/>
        <w:jc w:val="both"/>
        <w:rPr>
          <w:bCs/>
        </w:rPr>
      </w:pPr>
    </w:p>
    <w:p w14:paraId="03EFC049" w14:textId="77777777" w:rsidR="00711C24" w:rsidRDefault="00711C24"/>
    <w:sectPr w:rsidR="00711C24" w:rsidSect="00F02EE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00F7" w14:textId="77777777" w:rsidR="005B2DCA" w:rsidRDefault="005B2DCA" w:rsidP="003A22AD">
      <w:r>
        <w:separator/>
      </w:r>
    </w:p>
  </w:endnote>
  <w:endnote w:type="continuationSeparator" w:id="0">
    <w:p w14:paraId="6B8DDC72" w14:textId="77777777" w:rsidR="005B2DCA" w:rsidRDefault="005B2DCA" w:rsidP="003A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446073"/>
      <w:docPartObj>
        <w:docPartGallery w:val="Page Numbers (Bottom of Page)"/>
        <w:docPartUnique/>
      </w:docPartObj>
    </w:sdtPr>
    <w:sdtEndPr>
      <w:rPr>
        <w:rStyle w:val="PageNumber"/>
      </w:rPr>
    </w:sdtEndPr>
    <w:sdtContent>
      <w:p w14:paraId="153E41B7" w14:textId="14812389" w:rsidR="003A22AD" w:rsidRDefault="003A22AD" w:rsidP="000024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1023E7" w14:textId="77777777" w:rsidR="003A22AD" w:rsidRDefault="003A2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671685"/>
      <w:docPartObj>
        <w:docPartGallery w:val="Page Numbers (Bottom of Page)"/>
        <w:docPartUnique/>
      </w:docPartObj>
    </w:sdtPr>
    <w:sdtEndPr>
      <w:rPr>
        <w:rStyle w:val="PageNumber"/>
      </w:rPr>
    </w:sdtEndPr>
    <w:sdtContent>
      <w:p w14:paraId="2E9A9931" w14:textId="51B01EEF" w:rsidR="003A22AD" w:rsidRDefault="003A22AD" w:rsidP="000024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B25CB0" w14:textId="77777777" w:rsidR="003A22AD" w:rsidRDefault="003A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7D3C" w14:textId="77777777" w:rsidR="005B2DCA" w:rsidRDefault="005B2DCA" w:rsidP="003A22AD">
      <w:r>
        <w:separator/>
      </w:r>
    </w:p>
  </w:footnote>
  <w:footnote w:type="continuationSeparator" w:id="0">
    <w:p w14:paraId="2C5063FD" w14:textId="77777777" w:rsidR="005B2DCA" w:rsidRDefault="005B2DCA" w:rsidP="003A2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62E42"/>
    <w:multiLevelType w:val="multilevel"/>
    <w:tmpl w:val="890C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3C033E"/>
    <w:multiLevelType w:val="hybridMultilevel"/>
    <w:tmpl w:val="79D2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3D"/>
    <w:rsid w:val="000A7621"/>
    <w:rsid w:val="00135292"/>
    <w:rsid w:val="0014220B"/>
    <w:rsid w:val="00157B71"/>
    <w:rsid w:val="001A386C"/>
    <w:rsid w:val="00285C97"/>
    <w:rsid w:val="003736A8"/>
    <w:rsid w:val="00395A85"/>
    <w:rsid w:val="003A22AD"/>
    <w:rsid w:val="003B323D"/>
    <w:rsid w:val="004C3FDC"/>
    <w:rsid w:val="00517418"/>
    <w:rsid w:val="00570B4B"/>
    <w:rsid w:val="005B2DCA"/>
    <w:rsid w:val="00637067"/>
    <w:rsid w:val="0066530A"/>
    <w:rsid w:val="00711C24"/>
    <w:rsid w:val="007737B9"/>
    <w:rsid w:val="0077409F"/>
    <w:rsid w:val="007C4924"/>
    <w:rsid w:val="00821773"/>
    <w:rsid w:val="0086766E"/>
    <w:rsid w:val="008A7E20"/>
    <w:rsid w:val="00980248"/>
    <w:rsid w:val="009A054B"/>
    <w:rsid w:val="009F3451"/>
    <w:rsid w:val="00B01CD7"/>
    <w:rsid w:val="00B5330B"/>
    <w:rsid w:val="00B845DB"/>
    <w:rsid w:val="00B9546C"/>
    <w:rsid w:val="00CB6D76"/>
    <w:rsid w:val="00CC7383"/>
    <w:rsid w:val="00D40254"/>
    <w:rsid w:val="00F02EE2"/>
    <w:rsid w:val="00F441BA"/>
    <w:rsid w:val="00F83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07A4"/>
  <w15:chartTrackingRefBased/>
  <w15:docId w15:val="{0528382A-4A93-F344-B59F-A66CCB5F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BA"/>
    <w:pPr>
      <w:ind w:left="720"/>
      <w:contextualSpacing/>
    </w:pPr>
  </w:style>
  <w:style w:type="paragraph" w:styleId="Footer">
    <w:name w:val="footer"/>
    <w:basedOn w:val="Normal"/>
    <w:link w:val="FooterChar"/>
    <w:uiPriority w:val="99"/>
    <w:unhideWhenUsed/>
    <w:rsid w:val="003A22AD"/>
    <w:pPr>
      <w:tabs>
        <w:tab w:val="center" w:pos="4513"/>
        <w:tab w:val="right" w:pos="9026"/>
      </w:tabs>
    </w:pPr>
  </w:style>
  <w:style w:type="character" w:customStyle="1" w:styleId="FooterChar">
    <w:name w:val="Footer Char"/>
    <w:basedOn w:val="DefaultParagraphFont"/>
    <w:link w:val="Footer"/>
    <w:uiPriority w:val="99"/>
    <w:rsid w:val="003A22AD"/>
  </w:style>
  <w:style w:type="character" w:styleId="PageNumber">
    <w:name w:val="page number"/>
    <w:basedOn w:val="DefaultParagraphFont"/>
    <w:uiPriority w:val="99"/>
    <w:semiHidden/>
    <w:unhideWhenUsed/>
    <w:rsid w:val="003A22AD"/>
  </w:style>
  <w:style w:type="paragraph" w:styleId="Revision">
    <w:name w:val="Revision"/>
    <w:hidden/>
    <w:uiPriority w:val="99"/>
    <w:semiHidden/>
    <w:rsid w:val="0077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0497">
      <w:bodyDiv w:val="1"/>
      <w:marLeft w:val="0"/>
      <w:marRight w:val="0"/>
      <w:marTop w:val="0"/>
      <w:marBottom w:val="0"/>
      <w:divBdr>
        <w:top w:val="none" w:sz="0" w:space="0" w:color="auto"/>
        <w:left w:val="none" w:sz="0" w:space="0" w:color="auto"/>
        <w:bottom w:val="none" w:sz="0" w:space="0" w:color="auto"/>
        <w:right w:val="none" w:sz="0" w:space="0" w:color="auto"/>
      </w:divBdr>
      <w:divsChild>
        <w:div w:id="850336714">
          <w:marLeft w:val="0"/>
          <w:marRight w:val="0"/>
          <w:marTop w:val="0"/>
          <w:marBottom w:val="0"/>
          <w:divBdr>
            <w:top w:val="none" w:sz="0" w:space="0" w:color="auto"/>
            <w:left w:val="none" w:sz="0" w:space="0" w:color="auto"/>
            <w:bottom w:val="none" w:sz="0" w:space="0" w:color="auto"/>
            <w:right w:val="none" w:sz="0" w:space="0" w:color="auto"/>
          </w:divBdr>
          <w:divsChild>
            <w:div w:id="255752328">
              <w:marLeft w:val="0"/>
              <w:marRight w:val="0"/>
              <w:marTop w:val="0"/>
              <w:marBottom w:val="0"/>
              <w:divBdr>
                <w:top w:val="none" w:sz="0" w:space="0" w:color="auto"/>
                <w:left w:val="none" w:sz="0" w:space="0" w:color="auto"/>
                <w:bottom w:val="none" w:sz="0" w:space="0" w:color="auto"/>
                <w:right w:val="none" w:sz="0" w:space="0" w:color="auto"/>
              </w:divBdr>
              <w:divsChild>
                <w:div w:id="959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7741">
      <w:bodyDiv w:val="1"/>
      <w:marLeft w:val="0"/>
      <w:marRight w:val="0"/>
      <w:marTop w:val="0"/>
      <w:marBottom w:val="0"/>
      <w:divBdr>
        <w:top w:val="none" w:sz="0" w:space="0" w:color="auto"/>
        <w:left w:val="none" w:sz="0" w:space="0" w:color="auto"/>
        <w:bottom w:val="none" w:sz="0" w:space="0" w:color="auto"/>
        <w:right w:val="none" w:sz="0" w:space="0" w:color="auto"/>
      </w:divBdr>
      <w:divsChild>
        <w:div w:id="682362224">
          <w:marLeft w:val="0"/>
          <w:marRight w:val="0"/>
          <w:marTop w:val="0"/>
          <w:marBottom w:val="0"/>
          <w:divBdr>
            <w:top w:val="none" w:sz="0" w:space="0" w:color="auto"/>
            <w:left w:val="none" w:sz="0" w:space="0" w:color="auto"/>
            <w:bottom w:val="none" w:sz="0" w:space="0" w:color="auto"/>
            <w:right w:val="none" w:sz="0" w:space="0" w:color="auto"/>
          </w:divBdr>
          <w:divsChild>
            <w:div w:id="847214837">
              <w:marLeft w:val="0"/>
              <w:marRight w:val="0"/>
              <w:marTop w:val="0"/>
              <w:marBottom w:val="0"/>
              <w:divBdr>
                <w:top w:val="none" w:sz="0" w:space="0" w:color="auto"/>
                <w:left w:val="none" w:sz="0" w:space="0" w:color="auto"/>
                <w:bottom w:val="none" w:sz="0" w:space="0" w:color="auto"/>
                <w:right w:val="none" w:sz="0" w:space="0" w:color="auto"/>
              </w:divBdr>
              <w:divsChild>
                <w:div w:id="1318998226">
                  <w:marLeft w:val="0"/>
                  <w:marRight w:val="0"/>
                  <w:marTop w:val="0"/>
                  <w:marBottom w:val="0"/>
                  <w:divBdr>
                    <w:top w:val="none" w:sz="0" w:space="0" w:color="auto"/>
                    <w:left w:val="none" w:sz="0" w:space="0" w:color="auto"/>
                    <w:bottom w:val="none" w:sz="0" w:space="0" w:color="auto"/>
                    <w:right w:val="none" w:sz="0" w:space="0" w:color="auto"/>
                  </w:divBdr>
                </w:div>
              </w:divsChild>
            </w:div>
            <w:div w:id="1703289169">
              <w:marLeft w:val="0"/>
              <w:marRight w:val="0"/>
              <w:marTop w:val="0"/>
              <w:marBottom w:val="0"/>
              <w:divBdr>
                <w:top w:val="none" w:sz="0" w:space="0" w:color="auto"/>
                <w:left w:val="none" w:sz="0" w:space="0" w:color="auto"/>
                <w:bottom w:val="none" w:sz="0" w:space="0" w:color="auto"/>
                <w:right w:val="none" w:sz="0" w:space="0" w:color="auto"/>
              </w:divBdr>
              <w:divsChild>
                <w:div w:id="54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665">
          <w:marLeft w:val="0"/>
          <w:marRight w:val="0"/>
          <w:marTop w:val="0"/>
          <w:marBottom w:val="0"/>
          <w:divBdr>
            <w:top w:val="none" w:sz="0" w:space="0" w:color="auto"/>
            <w:left w:val="none" w:sz="0" w:space="0" w:color="auto"/>
            <w:bottom w:val="none" w:sz="0" w:space="0" w:color="auto"/>
            <w:right w:val="none" w:sz="0" w:space="0" w:color="auto"/>
          </w:divBdr>
          <w:divsChild>
            <w:div w:id="967903858">
              <w:marLeft w:val="0"/>
              <w:marRight w:val="0"/>
              <w:marTop w:val="0"/>
              <w:marBottom w:val="0"/>
              <w:divBdr>
                <w:top w:val="none" w:sz="0" w:space="0" w:color="auto"/>
                <w:left w:val="none" w:sz="0" w:space="0" w:color="auto"/>
                <w:bottom w:val="none" w:sz="0" w:space="0" w:color="auto"/>
                <w:right w:val="none" w:sz="0" w:space="0" w:color="auto"/>
              </w:divBdr>
              <w:divsChild>
                <w:div w:id="4336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Evans</dc:creator>
  <cp:keywords/>
  <dc:description/>
  <cp:lastModifiedBy>Christopher Katkowski QC</cp:lastModifiedBy>
  <cp:revision>4</cp:revision>
  <cp:lastPrinted>2021-09-04T14:15:00Z</cp:lastPrinted>
  <dcterms:created xsi:type="dcterms:W3CDTF">2021-09-06T12:18:00Z</dcterms:created>
  <dcterms:modified xsi:type="dcterms:W3CDTF">2021-09-06T12:20:00Z</dcterms:modified>
</cp:coreProperties>
</file>