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8AB" w14:textId="5953D2A0" w:rsidR="00330F2D" w:rsidRDefault="00E43E31" w:rsidP="004028D0">
      <w:pPr>
        <w:pStyle w:val="Heading1"/>
        <w:jc w:val="center"/>
      </w:pPr>
      <w:r>
        <w:t xml:space="preserve">Service User Files – DMH Day Opportunities and Supported Living </w:t>
      </w:r>
    </w:p>
    <w:p w14:paraId="3A6D7582" w14:textId="519C8DDC" w:rsidR="004028D0" w:rsidRDefault="004028D0" w:rsidP="004028D0">
      <w:pPr>
        <w:pStyle w:val="Heading1"/>
        <w:jc w:val="center"/>
      </w:pPr>
      <w:bookmarkStart w:id="1" w:name="_Toc145923745"/>
      <w:r>
        <w:t>Westmorland and Furness Care Services</w:t>
      </w:r>
      <w:bookmarkEnd w:id="1"/>
    </w:p>
    <w:p w14:paraId="624F0D70" w14:textId="77777777" w:rsidR="00CC5807" w:rsidRPr="00CC5807" w:rsidRDefault="00CC5807" w:rsidP="00CC5807">
      <w:pPr>
        <w:rPr>
          <w:rFonts w:eastAsiaTheme="majorEastAsia"/>
        </w:rPr>
      </w:pPr>
    </w:p>
    <w:p w14:paraId="4997EF1C" w14:textId="5A455BA8" w:rsidR="00E43E31" w:rsidRDefault="00E43E31" w:rsidP="00E43E31">
      <w:pPr>
        <w:pStyle w:val="Heading2"/>
        <w:jc w:val="center"/>
      </w:pPr>
      <w:r>
        <w:t>Policy</w:t>
      </w:r>
    </w:p>
    <w:p w14:paraId="31DA2B60" w14:textId="77777777" w:rsidR="00E43E31" w:rsidRPr="00E43E31" w:rsidRDefault="00E43E31" w:rsidP="00E43E31"/>
    <w:p w14:paraId="56F51BC6" w14:textId="736BCBB3" w:rsidR="00E43E31" w:rsidRDefault="00E43E31" w:rsidP="00E43E31">
      <w:r>
        <w:t xml:space="preserve">To ensure all service user files and confidential documentation are stored securely. </w:t>
      </w:r>
    </w:p>
    <w:p w14:paraId="09728173" w14:textId="77777777" w:rsidR="00E43E31" w:rsidRDefault="00E43E31" w:rsidP="00E43E31"/>
    <w:p w14:paraId="29659F1F" w14:textId="19BED892" w:rsidR="00E43E31" w:rsidRDefault="00E43E31" w:rsidP="00E43E31">
      <w:pPr>
        <w:pStyle w:val="Heading2"/>
        <w:jc w:val="center"/>
      </w:pPr>
      <w:r>
        <w:t>Procedure</w:t>
      </w:r>
    </w:p>
    <w:p w14:paraId="49871295" w14:textId="77777777" w:rsidR="00E43E31" w:rsidRPr="00E43E31" w:rsidRDefault="00E43E31" w:rsidP="00E43E31"/>
    <w:p w14:paraId="21B5BECB" w14:textId="77777777" w:rsidR="00E43E31" w:rsidRDefault="00E43E31" w:rsidP="00E43E31">
      <w:r>
        <w:t xml:space="preserve">1. All documentation must be stored in a ring binder / wallet type folder with section dividers. The Personal Support Plan can be held in the same file / folder or separately, dependent on the operational needs of the service. If one file / folder is to be used, the Personal Support Plan must be held at the front of the file / folder with the Service User File at the rear. </w:t>
      </w:r>
    </w:p>
    <w:p w14:paraId="491DB8B0" w14:textId="77777777" w:rsidR="00E43E31" w:rsidRDefault="00E43E31" w:rsidP="00E43E31">
      <w:r>
        <w:t xml:space="preserve">2. Please note that the Personal Support Plan and Service User File remain separate documents and confidentiality must be maintained when allowing access to these. Separate policies and procedures also remain in place. </w:t>
      </w:r>
    </w:p>
    <w:p w14:paraId="6AE89E27" w14:textId="77777777" w:rsidR="00E43E31" w:rsidRDefault="00E43E31" w:rsidP="00E43E31">
      <w:r>
        <w:t xml:space="preserve">3. Most recent documents must be filed at the front of each Section </w:t>
      </w:r>
    </w:p>
    <w:p w14:paraId="4BFD17E1" w14:textId="77777777" w:rsidR="00E43E31" w:rsidRDefault="00E43E31" w:rsidP="00E43E31">
      <w:r>
        <w:t xml:space="preserve">4. If documents are held elsewhere, this must be detailed in the appropriate section with reference to where the document can be accessed if required. </w:t>
      </w:r>
    </w:p>
    <w:p w14:paraId="124E2F8B" w14:textId="77777777" w:rsidR="00E43E31" w:rsidRDefault="00E43E31" w:rsidP="00E43E31">
      <w:r>
        <w:t xml:space="preserve">5. The index is for guidance and each section can be added to according to the actual documents held for </w:t>
      </w:r>
      <w:proofErr w:type="gramStart"/>
      <w:r>
        <w:t>each individual</w:t>
      </w:r>
      <w:proofErr w:type="gramEnd"/>
      <w:r>
        <w:t xml:space="preserve">. It is recommended that you start Section B, and all following sections, with your own more detailed index for ease of finding documents (example at Appendix 1) </w:t>
      </w:r>
    </w:p>
    <w:p w14:paraId="1A1B4D26" w14:textId="77777777" w:rsidR="00E43E31" w:rsidRDefault="00E43E31" w:rsidP="00E43E31">
      <w:r>
        <w:t xml:space="preserve">6. The archive (Section F) should be reviewed </w:t>
      </w:r>
      <w:proofErr w:type="gramStart"/>
      <w:r>
        <w:t>regularly</w:t>
      </w:r>
      <w:proofErr w:type="gramEnd"/>
      <w:r>
        <w:t xml:space="preserve"> and documents disposed of as confidential waste if they are no longer required. Historical documents that need to be kept can be placed in a separate archive facility with a note of where this is held at the front of the section. Where possible, please archive documents electronically, either when updating or reviewing or as a pdf document if necessary. Electronic documents must be stored in the service user’s individual personal folder held within the service folder on the shared drive. </w:t>
      </w:r>
    </w:p>
    <w:p w14:paraId="4CDC70E9" w14:textId="77777777" w:rsidR="00E43E31" w:rsidRDefault="00E43E31" w:rsidP="00E43E31"/>
    <w:p w14:paraId="383C02E7" w14:textId="606FFE4C" w:rsidR="00E43E31" w:rsidRDefault="00E43E31" w:rsidP="00E43E31">
      <w:pPr>
        <w:pStyle w:val="Heading3"/>
      </w:pPr>
      <w:r>
        <w:t xml:space="preserve">Section A </w:t>
      </w:r>
    </w:p>
    <w:p w14:paraId="7A19CC1A" w14:textId="77777777" w:rsidR="00E43E31" w:rsidRDefault="00E43E31" w:rsidP="00E43E31">
      <w:r>
        <w:sym w:font="Symbol" w:char="F0B7"/>
      </w:r>
      <w:r>
        <w:t xml:space="preserve"> </w:t>
      </w:r>
      <w:r>
        <w:sym w:font="Symbol" w:char="F020"/>
      </w:r>
      <w:r>
        <w:sym w:font="Symbol" w:char="F020"/>
      </w:r>
      <w:r>
        <w:sym w:font="Symbol" w:char="F020"/>
      </w:r>
      <w:r>
        <w:t xml:space="preserve">03bs / IAS provider forms / Adult Social Care Purchasing Agreement </w:t>
      </w:r>
    </w:p>
    <w:p w14:paraId="0EFEDC3F" w14:textId="77777777" w:rsidR="00E43E31" w:rsidRDefault="00E43E31" w:rsidP="00E43E31">
      <w:r>
        <w:sym w:font="Symbol" w:char="F0B7"/>
      </w:r>
      <w:r>
        <w:t xml:space="preserve"> </w:t>
      </w:r>
      <w:r>
        <w:sym w:font="Symbol" w:char="F020"/>
      </w:r>
      <w:r>
        <w:sym w:font="Symbol" w:char="F020"/>
      </w:r>
      <w:r>
        <w:sym w:font="Symbol" w:char="F020"/>
      </w:r>
      <w:r>
        <w:t xml:space="preserve">ASC Support Plan </w:t>
      </w:r>
    </w:p>
    <w:p w14:paraId="4EBF690D" w14:textId="77777777" w:rsidR="00E43E31" w:rsidRDefault="00E43E31" w:rsidP="00E43E31">
      <w:r>
        <w:sym w:font="Symbol" w:char="F0B7"/>
      </w:r>
      <w:r>
        <w:t xml:space="preserve"> </w:t>
      </w:r>
      <w:r>
        <w:sym w:font="Symbol" w:char="F020"/>
      </w:r>
      <w:r>
        <w:sym w:font="Symbol" w:char="F020"/>
      </w:r>
      <w:r>
        <w:sym w:font="Symbol" w:char="F020"/>
      </w:r>
      <w:r>
        <w:t xml:space="preserve">Licence Agreement or Tenancy Agreement </w:t>
      </w:r>
    </w:p>
    <w:p w14:paraId="1DA19299" w14:textId="77777777" w:rsidR="00E43E31" w:rsidRDefault="00E43E31" w:rsidP="00E43E31">
      <w:r>
        <w:sym w:font="Symbol" w:char="F0B7"/>
      </w:r>
      <w:r>
        <w:t xml:space="preserve"> </w:t>
      </w:r>
      <w:r>
        <w:sym w:font="Symbol" w:char="F020"/>
      </w:r>
      <w:r>
        <w:sym w:font="Symbol" w:char="F020"/>
      </w:r>
      <w:r>
        <w:sym w:font="Symbol" w:char="F020"/>
      </w:r>
      <w:r>
        <w:t>Statement of purpose and service user guide confirmation form</w:t>
      </w:r>
    </w:p>
    <w:p w14:paraId="3F606405" w14:textId="1FA3C980" w:rsidR="00E43E31" w:rsidRDefault="00E43E31" w:rsidP="00E43E31">
      <w:r>
        <w:t xml:space="preserve"> </w:t>
      </w:r>
      <w:r>
        <w:sym w:font="Symbol" w:char="F0B7"/>
      </w:r>
      <w:r>
        <w:t xml:space="preserve"> </w:t>
      </w:r>
      <w:r>
        <w:sym w:font="Symbol" w:char="F020"/>
      </w:r>
      <w:r>
        <w:sym w:font="Symbol" w:char="F020"/>
      </w:r>
      <w:r>
        <w:sym w:font="Symbol" w:char="F020"/>
      </w:r>
      <w:r>
        <w:t xml:space="preserve">Personal inventories </w:t>
      </w:r>
    </w:p>
    <w:p w14:paraId="495DA2FC" w14:textId="77777777" w:rsidR="00962E12" w:rsidRDefault="00962E12" w:rsidP="00E43E31"/>
    <w:p w14:paraId="765D0E34" w14:textId="0145E6C9" w:rsidR="00E43E31" w:rsidRDefault="00E43E31" w:rsidP="00E43E31">
      <w:pPr>
        <w:pStyle w:val="Heading3"/>
      </w:pPr>
      <w:r>
        <w:lastRenderedPageBreak/>
        <w:t xml:space="preserve">SECTION B – Safeguarding records e.g. </w:t>
      </w:r>
    </w:p>
    <w:p w14:paraId="071CD5BF" w14:textId="77777777" w:rsidR="00E43E31" w:rsidRDefault="00E43E31" w:rsidP="00E43E31">
      <w:r>
        <w:sym w:font="Symbol" w:char="F0B7"/>
      </w:r>
      <w:r>
        <w:sym w:font="Symbol" w:char="F020"/>
      </w:r>
      <w:r>
        <w:sym w:font="Symbol" w:char="F020"/>
      </w:r>
      <w:r>
        <w:sym w:font="Symbol" w:char="F020"/>
      </w:r>
      <w:r>
        <w:t xml:space="preserve"> Safeguarding referrals / Minutes of meetings </w:t>
      </w:r>
    </w:p>
    <w:p w14:paraId="6815565D" w14:textId="77777777" w:rsidR="00E43E31" w:rsidRDefault="00E43E31" w:rsidP="00E43E31">
      <w:r>
        <w:sym w:font="Symbol" w:char="F0B7"/>
      </w:r>
      <w:r>
        <w:t xml:space="preserve"> </w:t>
      </w:r>
      <w:r>
        <w:sym w:font="Symbol" w:char="F020"/>
      </w:r>
      <w:r>
        <w:sym w:font="Symbol" w:char="F020"/>
      </w:r>
      <w:r>
        <w:sym w:font="Symbol" w:char="F020"/>
      </w:r>
      <w:proofErr w:type="spellStart"/>
      <w:r>
        <w:t>DoLS</w:t>
      </w:r>
      <w:proofErr w:type="spellEnd"/>
      <w:r>
        <w:t xml:space="preserve"> / </w:t>
      </w:r>
      <w:proofErr w:type="spellStart"/>
      <w:r>
        <w:t>DoL</w:t>
      </w:r>
      <w:proofErr w:type="spellEnd"/>
      <w:r>
        <w:t xml:space="preserve"> referrals and authorisations </w:t>
      </w:r>
    </w:p>
    <w:p w14:paraId="164119C2" w14:textId="77777777" w:rsidR="00E43E31" w:rsidRDefault="00E43E31" w:rsidP="00E43E31">
      <w:r>
        <w:sym w:font="Symbol" w:char="F0B7"/>
      </w:r>
      <w:r>
        <w:t xml:space="preserve"> </w:t>
      </w:r>
      <w:r>
        <w:sym w:font="Symbol" w:char="F020"/>
      </w:r>
      <w:r>
        <w:sym w:font="Symbol" w:char="F020"/>
      </w:r>
      <w:r>
        <w:sym w:font="Symbol" w:char="F020"/>
      </w:r>
      <w:r>
        <w:t xml:space="preserve">CQC notifications </w:t>
      </w:r>
    </w:p>
    <w:p w14:paraId="5DD1416E" w14:textId="77777777" w:rsidR="00E43E31" w:rsidRDefault="00E43E31" w:rsidP="00E43E31">
      <w:r>
        <w:sym w:font="Symbol" w:char="F0B7"/>
      </w:r>
      <w:r>
        <w:t xml:space="preserve"> </w:t>
      </w:r>
      <w:r>
        <w:sym w:font="Symbol" w:char="F020"/>
      </w:r>
      <w:r>
        <w:sym w:font="Symbol" w:char="F020"/>
      </w:r>
      <w:r>
        <w:sym w:font="Symbol" w:char="F020"/>
      </w:r>
      <w:r>
        <w:t xml:space="preserve">MARE / MAPPA (Multi Agency Risk / Public Protection Arrangements) </w:t>
      </w:r>
    </w:p>
    <w:p w14:paraId="767ADFF7" w14:textId="77777777" w:rsidR="00E43E31" w:rsidRDefault="00E43E31" w:rsidP="00E43E31">
      <w:r>
        <w:sym w:font="Symbol" w:char="F0B7"/>
      </w:r>
      <w:r>
        <w:t xml:space="preserve"> </w:t>
      </w:r>
      <w:r>
        <w:sym w:font="Symbol" w:char="F020"/>
      </w:r>
      <w:r>
        <w:sym w:font="Symbol" w:char="F020"/>
      </w:r>
      <w:r>
        <w:sym w:font="Symbol" w:char="F020"/>
      </w:r>
      <w:r>
        <w:t xml:space="preserve">FACE (Functional Analysis of Care Environments) risk assessments </w:t>
      </w:r>
    </w:p>
    <w:p w14:paraId="60B37815" w14:textId="77777777" w:rsidR="00E43E31" w:rsidRDefault="00E43E31" w:rsidP="00E43E31"/>
    <w:p w14:paraId="083D0150" w14:textId="46AD085C" w:rsidR="00E43E31" w:rsidRDefault="00E43E31" w:rsidP="00E43E31">
      <w:pPr>
        <w:pStyle w:val="Heading3"/>
      </w:pPr>
      <w:r>
        <w:t xml:space="preserve">SECTION C – Accidents </w:t>
      </w:r>
      <w:proofErr w:type="gramStart"/>
      <w:r>
        <w:t>And</w:t>
      </w:r>
      <w:proofErr w:type="gramEnd"/>
      <w:r>
        <w:t xml:space="preserve"> Incidents e.g.</w:t>
      </w:r>
    </w:p>
    <w:p w14:paraId="1EDB8271" w14:textId="77777777" w:rsidR="00E43E31" w:rsidRDefault="00E43E31" w:rsidP="00E43E31">
      <w:r>
        <w:sym w:font="Symbol" w:char="F0B7"/>
      </w:r>
      <w:r>
        <w:t xml:space="preserve"> </w:t>
      </w:r>
      <w:r>
        <w:sym w:font="Symbol" w:char="F020"/>
      </w:r>
      <w:r>
        <w:sym w:font="Symbol" w:char="F020"/>
      </w:r>
      <w:r>
        <w:sym w:font="Symbol" w:char="F020"/>
      </w:r>
      <w:r>
        <w:t xml:space="preserve">P25 Accident and incident report forms </w:t>
      </w:r>
    </w:p>
    <w:p w14:paraId="2596D270" w14:textId="77777777" w:rsidR="00E43E31" w:rsidRDefault="00E43E31" w:rsidP="00E43E31">
      <w:r>
        <w:sym w:font="Symbol" w:char="F0B7"/>
      </w:r>
      <w:r>
        <w:t xml:space="preserve"> </w:t>
      </w:r>
      <w:r>
        <w:sym w:font="Symbol" w:char="F020"/>
      </w:r>
      <w:r>
        <w:sym w:font="Symbol" w:char="F020"/>
      </w:r>
      <w:r>
        <w:sym w:font="Symbol" w:char="F020"/>
      </w:r>
      <w:r>
        <w:t xml:space="preserve">Information sheets </w:t>
      </w:r>
      <w:r>
        <w:sym w:font="Symbol" w:char="F0B7"/>
      </w:r>
      <w:r>
        <w:t xml:space="preserve"> </w:t>
      </w:r>
      <w:r>
        <w:sym w:font="Symbol" w:char="F020"/>
      </w:r>
      <w:r>
        <w:sym w:font="Symbol" w:char="F020"/>
      </w:r>
      <w:r>
        <w:sym w:font="Symbol" w:char="F020"/>
      </w:r>
      <w:r>
        <w:t xml:space="preserve">Body maps SECTION D - Other information e.g. </w:t>
      </w:r>
    </w:p>
    <w:p w14:paraId="60BFBE41" w14:textId="77777777" w:rsidR="00E43E31" w:rsidRDefault="00E43E31" w:rsidP="00E43E31">
      <w:r>
        <w:sym w:font="Symbol" w:char="F0B7"/>
      </w:r>
      <w:r>
        <w:t xml:space="preserve"> General correspondence </w:t>
      </w:r>
    </w:p>
    <w:p w14:paraId="17359E4B" w14:textId="77777777" w:rsidR="00E43E31" w:rsidRDefault="00E43E31" w:rsidP="00E43E31">
      <w:r>
        <w:sym w:font="Symbol" w:char="F0B7"/>
      </w:r>
      <w:r>
        <w:t xml:space="preserve"> </w:t>
      </w:r>
      <w:r>
        <w:sym w:font="Symbol" w:char="F020"/>
      </w:r>
      <w:r>
        <w:sym w:font="Symbol" w:char="F020"/>
      </w:r>
      <w:r>
        <w:sym w:font="Symbol" w:char="F020"/>
      </w:r>
      <w:r>
        <w:t xml:space="preserve">Mobility car / car lease contracts </w:t>
      </w:r>
    </w:p>
    <w:p w14:paraId="34E2DEB8" w14:textId="77777777" w:rsidR="00E43E31" w:rsidRDefault="00E43E31" w:rsidP="00E43E31">
      <w:r>
        <w:sym w:font="Symbol" w:char="F0B7"/>
      </w:r>
      <w:r>
        <w:t xml:space="preserve"> </w:t>
      </w:r>
      <w:r>
        <w:sym w:font="Symbol" w:char="F020"/>
      </w:r>
      <w:r>
        <w:sym w:font="Symbol" w:char="F020"/>
      </w:r>
      <w:r>
        <w:sym w:font="Symbol" w:char="F020"/>
      </w:r>
      <w:r>
        <w:t xml:space="preserve">Third party information </w:t>
      </w:r>
    </w:p>
    <w:p w14:paraId="1EB69751" w14:textId="77777777" w:rsidR="00E43E31" w:rsidRDefault="00E43E31" w:rsidP="00E43E31">
      <w:r>
        <w:sym w:font="Symbol" w:char="F0B7"/>
      </w:r>
      <w:r>
        <w:t xml:space="preserve"> </w:t>
      </w:r>
      <w:r>
        <w:sym w:font="Symbol" w:char="F020"/>
      </w:r>
      <w:r>
        <w:sym w:font="Symbol" w:char="F020"/>
      </w:r>
      <w:r>
        <w:sym w:font="Symbol" w:char="F020"/>
      </w:r>
      <w:r>
        <w:t xml:space="preserve">Confidential information – stored in a sealed </w:t>
      </w:r>
      <w:proofErr w:type="gramStart"/>
      <w:r>
        <w:t>envelope</w:t>
      </w:r>
      <w:proofErr w:type="gramEnd"/>
      <w:r>
        <w:t xml:space="preserve"> </w:t>
      </w:r>
    </w:p>
    <w:p w14:paraId="3AE70D84" w14:textId="77777777" w:rsidR="00E43E31" w:rsidRDefault="00E43E31" w:rsidP="00E43E31">
      <w:r>
        <w:sym w:font="Symbol" w:char="F0B7"/>
      </w:r>
      <w:r>
        <w:t xml:space="preserve"> </w:t>
      </w:r>
      <w:r>
        <w:sym w:font="Symbol" w:char="F020"/>
      </w:r>
      <w:r>
        <w:sym w:font="Symbol" w:char="F020"/>
      </w:r>
      <w:r>
        <w:sym w:font="Symbol" w:char="F020"/>
      </w:r>
      <w:r>
        <w:t xml:space="preserve">End of life documents </w:t>
      </w:r>
    </w:p>
    <w:p w14:paraId="544736EB" w14:textId="77777777" w:rsidR="00E43E31" w:rsidRDefault="00E43E31" w:rsidP="00E43E31">
      <w:r>
        <w:sym w:font="Symbol" w:char="F0B7"/>
      </w:r>
      <w:r>
        <w:t xml:space="preserve"> </w:t>
      </w:r>
      <w:r>
        <w:sym w:font="Symbol" w:char="F020"/>
      </w:r>
      <w:r>
        <w:sym w:font="Symbol" w:char="F020"/>
      </w:r>
      <w:r>
        <w:sym w:font="Symbol" w:char="F020"/>
      </w:r>
      <w:r>
        <w:t xml:space="preserve">Any other information SECTION E – Archive of Medication / Health Records and information e.g. </w:t>
      </w:r>
    </w:p>
    <w:p w14:paraId="281A6DCE" w14:textId="77777777" w:rsidR="00E43E31" w:rsidRDefault="00E43E31" w:rsidP="00E43E31">
      <w:r>
        <w:sym w:font="Symbol" w:char="F0B7"/>
      </w:r>
      <w:r>
        <w:t xml:space="preserve"> </w:t>
      </w:r>
      <w:r>
        <w:sym w:font="Symbol" w:char="F020"/>
      </w:r>
      <w:r>
        <w:sym w:font="Symbol" w:char="F020"/>
      </w:r>
      <w:r>
        <w:sym w:font="Symbol" w:char="F020"/>
      </w:r>
      <w:r>
        <w:t xml:space="preserve">Medication administration records (MAR sheets) - ORIGINALS </w:t>
      </w:r>
    </w:p>
    <w:p w14:paraId="4951EE5D" w14:textId="77777777" w:rsidR="00E43E31" w:rsidRDefault="00E43E31" w:rsidP="00E43E31">
      <w:r>
        <w:sym w:font="Symbol" w:char="F0B7"/>
      </w:r>
      <w:r>
        <w:t xml:space="preserve"> </w:t>
      </w:r>
      <w:r>
        <w:sym w:font="Symbol" w:char="F020"/>
      </w:r>
      <w:r>
        <w:sym w:font="Symbol" w:char="F020"/>
      </w:r>
      <w:r>
        <w:sym w:font="Symbol" w:char="F020"/>
      </w:r>
      <w:r>
        <w:t xml:space="preserve">Psychology / psychiatry reports – preferably electronically </w:t>
      </w:r>
      <w:r>
        <w:sym w:font="Symbol" w:char="F0B7"/>
      </w:r>
      <w:r>
        <w:t xml:space="preserve"> </w:t>
      </w:r>
      <w:r>
        <w:sym w:font="Symbol" w:char="F020"/>
      </w:r>
      <w:r>
        <w:sym w:font="Symbol" w:char="F020"/>
      </w:r>
      <w:r>
        <w:sym w:font="Symbol" w:char="F020"/>
      </w:r>
      <w:r>
        <w:t xml:space="preserve">Epilepsy management plans – preferably electronically </w:t>
      </w:r>
    </w:p>
    <w:p w14:paraId="6B1B4433" w14:textId="172415D2" w:rsidR="00E43E31" w:rsidRDefault="00E43E31" w:rsidP="00E43E31">
      <w:r>
        <w:sym w:font="Symbol" w:char="F0B7"/>
      </w:r>
      <w:r>
        <w:t xml:space="preserve"> </w:t>
      </w:r>
      <w:r>
        <w:sym w:font="Symbol" w:char="F020"/>
      </w:r>
      <w:r>
        <w:sym w:font="Symbol" w:char="F020"/>
      </w:r>
      <w:r>
        <w:sym w:font="Symbol" w:char="F020"/>
      </w:r>
      <w:r>
        <w:t xml:space="preserve">Dietary information </w:t>
      </w:r>
    </w:p>
    <w:p w14:paraId="5E65DE39" w14:textId="050B0EBF" w:rsidR="00E43E31" w:rsidRDefault="00E43E31" w:rsidP="00E43E31"/>
    <w:p w14:paraId="1441674B" w14:textId="23BC4017" w:rsidR="00E43E31" w:rsidRDefault="00B5386E" w:rsidP="00B5386E">
      <w:pPr>
        <w:pStyle w:val="Heading3"/>
      </w:pPr>
      <w:r>
        <w:t>Service User File Index</w:t>
      </w:r>
    </w:p>
    <w:p w14:paraId="1BAC7936" w14:textId="218B1CDF" w:rsidR="00B5386E" w:rsidRDefault="00B5386E" w:rsidP="00E43E31">
      <w:hyperlink r:id="rId11" w:history="1">
        <w:r>
          <w:rPr>
            <w:rStyle w:val="Hyperlink"/>
          </w:rPr>
          <w:t>Service User File Index</w:t>
        </w:r>
        <w:r>
          <w:rPr>
            <w:rStyle w:val="Hyperlink"/>
          </w:rPr>
          <w:t xml:space="preserve"> </w:t>
        </w:r>
        <w:r>
          <w:rPr>
            <w:rStyle w:val="Hyperlink"/>
          </w:rPr>
          <w:t>Appendix 1</w:t>
        </w:r>
      </w:hyperlink>
    </w:p>
    <w:p w14:paraId="54F7C337" w14:textId="7D28A770" w:rsidR="00D60912" w:rsidRPr="00D60912" w:rsidRDefault="00E43E31" w:rsidP="00E43E31">
      <w:r>
        <w:sym w:font="Symbol" w:char="F020"/>
      </w:r>
    </w:p>
    <w:sectPr w:rsidR="00D60912" w:rsidRPr="00D60912"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E70B" w14:textId="77777777" w:rsidR="00813CA6" w:rsidRDefault="00813CA6">
      <w:r>
        <w:separator/>
      </w:r>
    </w:p>
  </w:endnote>
  <w:endnote w:type="continuationSeparator" w:id="0">
    <w:p w14:paraId="6D7E00D4" w14:textId="77777777" w:rsidR="00813CA6" w:rsidRDefault="00813CA6">
      <w:r>
        <w:continuationSeparator/>
      </w:r>
    </w:p>
  </w:endnote>
  <w:endnote w:type="continuationNotice" w:id="1">
    <w:p w14:paraId="1C2BD69D" w14:textId="77777777" w:rsidR="00813CA6" w:rsidRDefault="00813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E12" w14:textId="77777777" w:rsidR="00813CA6" w:rsidRDefault="00813CA6">
      <w:bookmarkStart w:id="0" w:name="_Hlk83390648"/>
      <w:bookmarkEnd w:id="0"/>
      <w:r>
        <w:separator/>
      </w:r>
    </w:p>
  </w:footnote>
  <w:footnote w:type="continuationSeparator" w:id="0">
    <w:p w14:paraId="362B5410" w14:textId="77777777" w:rsidR="00813CA6" w:rsidRDefault="00813CA6">
      <w:r>
        <w:continuationSeparator/>
      </w:r>
    </w:p>
  </w:footnote>
  <w:footnote w:type="continuationNotice" w:id="1">
    <w:p w14:paraId="625DC2FF" w14:textId="77777777" w:rsidR="00813CA6" w:rsidRDefault="00813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3A8B8BBD" w:rsidR="00CE7615" w:rsidRPr="00CE7615" w:rsidRDefault="00962E12" w:rsidP="00CE7615">
    <w:pPr>
      <w:pStyle w:val="Header"/>
    </w:pPr>
    <w:r>
      <w:t>6.11.23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8"/>
  </w:num>
  <w:num w:numId="2" w16cid:durableId="653028147">
    <w:abstractNumId w:val="1"/>
  </w:num>
  <w:num w:numId="3" w16cid:durableId="1220703856">
    <w:abstractNumId w:val="0"/>
  </w:num>
  <w:num w:numId="4" w16cid:durableId="572087689">
    <w:abstractNumId w:val="4"/>
  </w:num>
  <w:num w:numId="5" w16cid:durableId="1838034515">
    <w:abstractNumId w:val="7"/>
  </w:num>
  <w:num w:numId="6" w16cid:durableId="307321873">
    <w:abstractNumId w:val="6"/>
  </w:num>
  <w:num w:numId="7" w16cid:durableId="1406995691">
    <w:abstractNumId w:val="9"/>
  </w:num>
  <w:num w:numId="8" w16cid:durableId="534853865">
    <w:abstractNumId w:val="11"/>
  </w:num>
  <w:num w:numId="9" w16cid:durableId="1357074903">
    <w:abstractNumId w:val="12"/>
  </w:num>
  <w:num w:numId="10" w16cid:durableId="1830250339">
    <w:abstractNumId w:val="3"/>
  </w:num>
  <w:num w:numId="11" w16cid:durableId="1683580313">
    <w:abstractNumId w:val="10"/>
  </w:num>
  <w:num w:numId="12" w16cid:durableId="1875533369">
    <w:abstractNumId w:val="5"/>
  </w:num>
  <w:num w:numId="13" w16cid:durableId="217784223">
    <w:abstractNumId w:val="2"/>
  </w:num>
  <w:num w:numId="14" w16cid:durableId="1787196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28D0"/>
    <w:rsid w:val="00404873"/>
    <w:rsid w:val="0042446D"/>
    <w:rsid w:val="00444220"/>
    <w:rsid w:val="00446295"/>
    <w:rsid w:val="0047769F"/>
    <w:rsid w:val="00486499"/>
    <w:rsid w:val="00490ECA"/>
    <w:rsid w:val="004920F1"/>
    <w:rsid w:val="004C1D56"/>
    <w:rsid w:val="004E55A0"/>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9797C"/>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62E12"/>
    <w:rsid w:val="00976709"/>
    <w:rsid w:val="009A1784"/>
    <w:rsid w:val="009B79E0"/>
    <w:rsid w:val="009E2B7C"/>
    <w:rsid w:val="009E56CD"/>
    <w:rsid w:val="00A025D0"/>
    <w:rsid w:val="00A151E1"/>
    <w:rsid w:val="00A3320D"/>
    <w:rsid w:val="00A445C5"/>
    <w:rsid w:val="00A57709"/>
    <w:rsid w:val="00A649C4"/>
    <w:rsid w:val="00A92886"/>
    <w:rsid w:val="00A928AA"/>
    <w:rsid w:val="00AA5817"/>
    <w:rsid w:val="00AA64F3"/>
    <w:rsid w:val="00AB5CA1"/>
    <w:rsid w:val="00AB70FE"/>
    <w:rsid w:val="00AE0785"/>
    <w:rsid w:val="00AF10DB"/>
    <w:rsid w:val="00B11C4B"/>
    <w:rsid w:val="00B1280F"/>
    <w:rsid w:val="00B5386E"/>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D4CD4"/>
    <w:rsid w:val="00DE2414"/>
    <w:rsid w:val="00DE3E71"/>
    <w:rsid w:val="00E01678"/>
    <w:rsid w:val="00E0614B"/>
    <w:rsid w:val="00E105E3"/>
    <w:rsid w:val="00E10E6D"/>
    <w:rsid w:val="00E15D9B"/>
    <w:rsid w:val="00E21E32"/>
    <w:rsid w:val="00E368CD"/>
    <w:rsid w:val="00E43E31"/>
    <w:rsid w:val="00E47F88"/>
    <w:rsid w:val="00E55650"/>
    <w:rsid w:val="00E67FB2"/>
    <w:rsid w:val="00E70028"/>
    <w:rsid w:val="00E860E9"/>
    <w:rsid w:val="00EB132C"/>
    <w:rsid w:val="00EC3AF2"/>
    <w:rsid w:val="00EC4760"/>
    <w:rsid w:val="00ED0AA4"/>
    <w:rsid w:val="00ED1F8D"/>
    <w:rsid w:val="00ED492A"/>
    <w:rsid w:val="00ED5024"/>
    <w:rsid w:val="00EE009B"/>
    <w:rsid w:val="00EF2BE2"/>
    <w:rsid w:val="00F00CCC"/>
    <w:rsid w:val="00F04CC1"/>
    <w:rsid w:val="00F20E39"/>
    <w:rsid w:val="00F37A51"/>
    <w:rsid w:val="00F51636"/>
    <w:rsid w:val="00F64348"/>
    <w:rsid w:val="00F71CCA"/>
    <w:rsid w:val="00F902FE"/>
    <w:rsid w:val="00F931C4"/>
    <w:rsid w:val="00FA66FF"/>
    <w:rsid w:val="00FB0628"/>
    <w:rsid w:val="00FE4072"/>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 w:type="character" w:styleId="UnresolvedMention">
    <w:name w:val="Unresolved Mention"/>
    <w:basedOn w:val="DefaultParagraphFont"/>
    <w:uiPriority w:val="99"/>
    <w:semiHidden/>
    <w:unhideWhenUsed/>
    <w:rsid w:val="00B53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6151021.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1E272C5D-D147-4129-807E-013EEB00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4</TotalTime>
  <Pages>2</Pages>
  <Words>469</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Kershaw, Emma</cp:lastModifiedBy>
  <cp:revision>3</cp:revision>
  <cp:lastPrinted>2012-11-13T18:25:00Z</cp:lastPrinted>
  <dcterms:created xsi:type="dcterms:W3CDTF">2023-11-06T14:03:00Z</dcterms:created>
  <dcterms:modified xsi:type="dcterms:W3CDTF">2023-11-06T15:16:00Z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