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38D9" w14:textId="605AB5CE" w:rsidR="000421EF" w:rsidRDefault="000421EF" w:rsidP="00FE2321">
      <w:pPr>
        <w:pStyle w:val="Heading1"/>
        <w:jc w:val="center"/>
      </w:pPr>
      <w:bookmarkStart w:id="1" w:name="_Toc148607017"/>
      <w:bookmarkStart w:id="2" w:name="_Toc149909564"/>
      <w:bookmarkStart w:id="3" w:name="_Toc148533098"/>
      <w:bookmarkStart w:id="4" w:name="_Toc148533335"/>
      <w:r w:rsidRPr="000421EF">
        <w:t>D</w:t>
      </w:r>
      <w:bookmarkEnd w:id="1"/>
      <w:r w:rsidR="003C33FE">
        <w:t>rug and Alcohol Policy for Service Users</w:t>
      </w:r>
      <w:bookmarkEnd w:id="2"/>
    </w:p>
    <w:p w14:paraId="7F7A6B57" w14:textId="5995E9DE" w:rsidR="00FE2321" w:rsidRDefault="00FE2321" w:rsidP="00FE2321">
      <w:pPr>
        <w:pStyle w:val="Heading1"/>
        <w:jc w:val="center"/>
      </w:pPr>
      <w:bookmarkStart w:id="5" w:name="_Toc148607018"/>
      <w:bookmarkStart w:id="6" w:name="_Toc149909565"/>
      <w:r>
        <w:t>Westmorland and Furness Care Services</w:t>
      </w:r>
      <w:bookmarkEnd w:id="3"/>
      <w:bookmarkEnd w:id="5"/>
      <w:bookmarkEnd w:id="6"/>
      <w:r w:rsidR="000C43EE">
        <w:t xml:space="preserve"> </w:t>
      </w:r>
      <w:bookmarkEnd w:id="4"/>
    </w:p>
    <w:p w14:paraId="6739DF0F" w14:textId="322F347E" w:rsidR="003C33FE" w:rsidRDefault="003C33FE" w:rsidP="003C33FE"/>
    <w:p w14:paraId="57FD8AC8" w14:textId="77777777" w:rsidR="003C33FE" w:rsidRPr="003C33FE" w:rsidRDefault="003C33FE" w:rsidP="003C33FE"/>
    <w:bookmarkStart w:id="7" w:name="_Toc149909566" w:displacedByCustomXml="next"/>
    <w:sdt>
      <w:sdtPr>
        <w:rPr>
          <w:rFonts w:eastAsia="Times New Roman" w:cs="Times New Roman"/>
          <w:b w:val="0"/>
          <w:color w:val="auto"/>
          <w:sz w:val="24"/>
          <w:szCs w:val="22"/>
        </w:rPr>
        <w:id w:val="1592045262"/>
        <w:docPartObj>
          <w:docPartGallery w:val="Table of Contents"/>
          <w:docPartUnique/>
        </w:docPartObj>
      </w:sdtPr>
      <w:sdtEndPr>
        <w:rPr>
          <w:bCs/>
          <w:noProof/>
        </w:rPr>
      </w:sdtEndPr>
      <w:sdtContent>
        <w:p w14:paraId="632044F6" w14:textId="35110DAC" w:rsidR="000C43EE" w:rsidRPr="000C43EE" w:rsidRDefault="000C43EE" w:rsidP="003C33FE">
          <w:pPr>
            <w:pStyle w:val="Heading2"/>
            <w:jc w:val="center"/>
            <w:rPr>
              <w:rStyle w:val="Heading3Char"/>
            </w:rPr>
          </w:pPr>
          <w:r w:rsidRPr="003C33FE">
            <w:rPr>
              <w:rStyle w:val="Heading3Char"/>
              <w:b/>
              <w:sz w:val="32"/>
            </w:rPr>
            <w:t>Contents</w:t>
          </w:r>
          <w:bookmarkEnd w:id="7"/>
        </w:p>
        <w:p w14:paraId="1D32D0F9" w14:textId="1DB7AFAA" w:rsidR="003C33FE" w:rsidRDefault="000C43EE" w:rsidP="003C33FE">
          <w:pPr>
            <w:pStyle w:val="TOC1"/>
            <w:tabs>
              <w:tab w:val="right" w:leader="dot" w:pos="10194"/>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49909567" w:history="1">
            <w:r w:rsidR="003C33FE" w:rsidRPr="000F6785">
              <w:rPr>
                <w:rStyle w:val="Hyperlink"/>
                <w:rFonts w:eastAsiaTheme="majorEastAsia"/>
                <w:noProof/>
              </w:rPr>
              <w:t>Policy</w:t>
            </w:r>
            <w:r w:rsidR="003C33FE">
              <w:rPr>
                <w:noProof/>
                <w:webHidden/>
              </w:rPr>
              <w:tab/>
            </w:r>
            <w:r w:rsidR="003C33FE">
              <w:rPr>
                <w:noProof/>
                <w:webHidden/>
              </w:rPr>
              <w:fldChar w:fldCharType="begin"/>
            </w:r>
            <w:r w:rsidR="003C33FE">
              <w:rPr>
                <w:noProof/>
                <w:webHidden/>
              </w:rPr>
              <w:instrText xml:space="preserve"> PAGEREF _Toc149909567 \h </w:instrText>
            </w:r>
            <w:r w:rsidR="003C33FE">
              <w:rPr>
                <w:noProof/>
                <w:webHidden/>
              </w:rPr>
            </w:r>
            <w:r w:rsidR="003C33FE">
              <w:rPr>
                <w:noProof/>
                <w:webHidden/>
              </w:rPr>
              <w:fldChar w:fldCharType="separate"/>
            </w:r>
            <w:r w:rsidR="00737A06">
              <w:rPr>
                <w:noProof/>
                <w:webHidden/>
              </w:rPr>
              <w:t>1</w:t>
            </w:r>
            <w:r w:rsidR="003C33FE">
              <w:rPr>
                <w:noProof/>
                <w:webHidden/>
              </w:rPr>
              <w:fldChar w:fldCharType="end"/>
            </w:r>
          </w:hyperlink>
        </w:p>
        <w:p w14:paraId="4187A6F7" w14:textId="356D082E" w:rsidR="003C33FE" w:rsidRDefault="00000000" w:rsidP="003C33FE">
          <w:pPr>
            <w:pStyle w:val="TOC2"/>
            <w:tabs>
              <w:tab w:val="right" w:leader="dot" w:pos="10194"/>
            </w:tabs>
            <w:ind w:left="0"/>
            <w:rPr>
              <w:rFonts w:asciiTheme="minorHAnsi" w:eastAsiaTheme="minorEastAsia" w:hAnsiTheme="minorHAnsi" w:cstheme="minorBidi"/>
              <w:noProof/>
              <w:sz w:val="22"/>
            </w:rPr>
          </w:pPr>
          <w:hyperlink w:anchor="_Toc149909568" w:history="1">
            <w:r w:rsidR="003C33FE" w:rsidRPr="000F6785">
              <w:rPr>
                <w:rStyle w:val="Hyperlink"/>
                <w:rFonts w:eastAsiaTheme="majorEastAsia"/>
                <w:noProof/>
              </w:rPr>
              <w:t>Procedure</w:t>
            </w:r>
            <w:r w:rsidR="003C33FE">
              <w:rPr>
                <w:noProof/>
                <w:webHidden/>
              </w:rPr>
              <w:tab/>
            </w:r>
            <w:r w:rsidR="003C33FE">
              <w:rPr>
                <w:noProof/>
                <w:webHidden/>
              </w:rPr>
              <w:fldChar w:fldCharType="begin"/>
            </w:r>
            <w:r w:rsidR="003C33FE">
              <w:rPr>
                <w:noProof/>
                <w:webHidden/>
              </w:rPr>
              <w:instrText xml:space="preserve"> PAGEREF _Toc149909568 \h </w:instrText>
            </w:r>
            <w:r w:rsidR="003C33FE">
              <w:rPr>
                <w:noProof/>
                <w:webHidden/>
              </w:rPr>
            </w:r>
            <w:r w:rsidR="003C33FE">
              <w:rPr>
                <w:noProof/>
                <w:webHidden/>
              </w:rPr>
              <w:fldChar w:fldCharType="separate"/>
            </w:r>
            <w:r w:rsidR="00737A06">
              <w:rPr>
                <w:noProof/>
                <w:webHidden/>
              </w:rPr>
              <w:t>1</w:t>
            </w:r>
            <w:r w:rsidR="003C33FE">
              <w:rPr>
                <w:noProof/>
                <w:webHidden/>
              </w:rPr>
              <w:fldChar w:fldCharType="end"/>
            </w:r>
          </w:hyperlink>
        </w:p>
        <w:p w14:paraId="0C1D28A7" w14:textId="45733868" w:rsidR="003C33FE" w:rsidRDefault="00000000">
          <w:pPr>
            <w:pStyle w:val="TOC3"/>
            <w:tabs>
              <w:tab w:val="right" w:leader="dot" w:pos="10194"/>
            </w:tabs>
            <w:rPr>
              <w:rFonts w:asciiTheme="minorHAnsi" w:eastAsiaTheme="minorEastAsia" w:hAnsiTheme="minorHAnsi" w:cstheme="minorBidi"/>
              <w:noProof/>
              <w:sz w:val="22"/>
            </w:rPr>
          </w:pPr>
          <w:hyperlink w:anchor="_Toc149909569" w:history="1">
            <w:r w:rsidR="003C33FE" w:rsidRPr="000F6785">
              <w:rPr>
                <w:rStyle w:val="Hyperlink"/>
                <w:rFonts w:eastAsiaTheme="majorEastAsia"/>
                <w:noProof/>
              </w:rPr>
              <w:t>General Principles</w:t>
            </w:r>
            <w:r w:rsidR="003C33FE">
              <w:rPr>
                <w:noProof/>
                <w:webHidden/>
              </w:rPr>
              <w:tab/>
            </w:r>
            <w:r w:rsidR="003C33FE">
              <w:rPr>
                <w:noProof/>
                <w:webHidden/>
              </w:rPr>
              <w:fldChar w:fldCharType="begin"/>
            </w:r>
            <w:r w:rsidR="003C33FE">
              <w:rPr>
                <w:noProof/>
                <w:webHidden/>
              </w:rPr>
              <w:instrText xml:space="preserve"> PAGEREF _Toc149909569 \h </w:instrText>
            </w:r>
            <w:r w:rsidR="003C33FE">
              <w:rPr>
                <w:noProof/>
                <w:webHidden/>
              </w:rPr>
            </w:r>
            <w:r w:rsidR="003C33FE">
              <w:rPr>
                <w:noProof/>
                <w:webHidden/>
              </w:rPr>
              <w:fldChar w:fldCharType="separate"/>
            </w:r>
            <w:r w:rsidR="00737A06">
              <w:rPr>
                <w:noProof/>
                <w:webHidden/>
              </w:rPr>
              <w:t>1</w:t>
            </w:r>
            <w:r w:rsidR="003C33FE">
              <w:rPr>
                <w:noProof/>
                <w:webHidden/>
              </w:rPr>
              <w:fldChar w:fldCharType="end"/>
            </w:r>
          </w:hyperlink>
        </w:p>
        <w:p w14:paraId="55AD36C1" w14:textId="0CE46EE3" w:rsidR="003C33FE" w:rsidRDefault="00000000">
          <w:pPr>
            <w:pStyle w:val="TOC3"/>
            <w:tabs>
              <w:tab w:val="right" w:leader="dot" w:pos="10194"/>
            </w:tabs>
            <w:rPr>
              <w:rFonts w:asciiTheme="minorHAnsi" w:eastAsiaTheme="minorEastAsia" w:hAnsiTheme="minorHAnsi" w:cstheme="minorBidi"/>
              <w:noProof/>
              <w:sz w:val="22"/>
            </w:rPr>
          </w:pPr>
          <w:hyperlink w:anchor="_Toc149909570" w:history="1">
            <w:r w:rsidR="003C33FE" w:rsidRPr="000F6785">
              <w:rPr>
                <w:rStyle w:val="Hyperlink"/>
                <w:rFonts w:eastAsiaTheme="majorEastAsia"/>
                <w:noProof/>
              </w:rPr>
              <w:t>Alcohol</w:t>
            </w:r>
            <w:r w:rsidR="003C33FE">
              <w:rPr>
                <w:noProof/>
                <w:webHidden/>
              </w:rPr>
              <w:tab/>
            </w:r>
            <w:r w:rsidR="003C33FE">
              <w:rPr>
                <w:noProof/>
                <w:webHidden/>
              </w:rPr>
              <w:fldChar w:fldCharType="begin"/>
            </w:r>
            <w:r w:rsidR="003C33FE">
              <w:rPr>
                <w:noProof/>
                <w:webHidden/>
              </w:rPr>
              <w:instrText xml:space="preserve"> PAGEREF _Toc149909570 \h </w:instrText>
            </w:r>
            <w:r w:rsidR="003C33FE">
              <w:rPr>
                <w:noProof/>
                <w:webHidden/>
              </w:rPr>
            </w:r>
            <w:r w:rsidR="003C33FE">
              <w:rPr>
                <w:noProof/>
                <w:webHidden/>
              </w:rPr>
              <w:fldChar w:fldCharType="separate"/>
            </w:r>
            <w:r w:rsidR="00737A06">
              <w:rPr>
                <w:noProof/>
                <w:webHidden/>
              </w:rPr>
              <w:t>1</w:t>
            </w:r>
            <w:r w:rsidR="003C33FE">
              <w:rPr>
                <w:noProof/>
                <w:webHidden/>
              </w:rPr>
              <w:fldChar w:fldCharType="end"/>
            </w:r>
          </w:hyperlink>
        </w:p>
        <w:p w14:paraId="711A6AC5" w14:textId="3F2EDBE1" w:rsidR="003C33FE" w:rsidRDefault="00000000">
          <w:pPr>
            <w:pStyle w:val="TOC3"/>
            <w:tabs>
              <w:tab w:val="right" w:leader="dot" w:pos="10194"/>
            </w:tabs>
            <w:rPr>
              <w:rFonts w:asciiTheme="minorHAnsi" w:eastAsiaTheme="minorEastAsia" w:hAnsiTheme="minorHAnsi" w:cstheme="minorBidi"/>
              <w:noProof/>
              <w:sz w:val="22"/>
            </w:rPr>
          </w:pPr>
          <w:hyperlink w:anchor="_Toc149909571" w:history="1">
            <w:r w:rsidR="003C33FE" w:rsidRPr="000F6785">
              <w:rPr>
                <w:rStyle w:val="Hyperlink"/>
                <w:rFonts w:eastAsiaTheme="majorEastAsia"/>
                <w:noProof/>
              </w:rPr>
              <w:t>Drugs</w:t>
            </w:r>
            <w:r w:rsidR="003C33FE">
              <w:rPr>
                <w:noProof/>
                <w:webHidden/>
              </w:rPr>
              <w:tab/>
            </w:r>
            <w:r w:rsidR="003C33FE">
              <w:rPr>
                <w:noProof/>
                <w:webHidden/>
              </w:rPr>
              <w:fldChar w:fldCharType="begin"/>
            </w:r>
            <w:r w:rsidR="003C33FE">
              <w:rPr>
                <w:noProof/>
                <w:webHidden/>
              </w:rPr>
              <w:instrText xml:space="preserve"> PAGEREF _Toc149909571 \h </w:instrText>
            </w:r>
            <w:r w:rsidR="003C33FE">
              <w:rPr>
                <w:noProof/>
                <w:webHidden/>
              </w:rPr>
            </w:r>
            <w:r w:rsidR="003C33FE">
              <w:rPr>
                <w:noProof/>
                <w:webHidden/>
              </w:rPr>
              <w:fldChar w:fldCharType="separate"/>
            </w:r>
            <w:r w:rsidR="00737A06">
              <w:rPr>
                <w:noProof/>
                <w:webHidden/>
              </w:rPr>
              <w:t>2</w:t>
            </w:r>
            <w:r w:rsidR="003C33FE">
              <w:rPr>
                <w:noProof/>
                <w:webHidden/>
              </w:rPr>
              <w:fldChar w:fldCharType="end"/>
            </w:r>
          </w:hyperlink>
        </w:p>
        <w:p w14:paraId="1D7EED8C" w14:textId="7EDE4A7C" w:rsidR="003C33FE" w:rsidRDefault="00000000">
          <w:pPr>
            <w:pStyle w:val="TOC3"/>
            <w:tabs>
              <w:tab w:val="right" w:leader="dot" w:pos="10194"/>
            </w:tabs>
            <w:rPr>
              <w:rFonts w:asciiTheme="minorHAnsi" w:eastAsiaTheme="minorEastAsia" w:hAnsiTheme="minorHAnsi" w:cstheme="minorBidi"/>
              <w:noProof/>
              <w:sz w:val="22"/>
            </w:rPr>
          </w:pPr>
          <w:hyperlink w:anchor="_Toc149909572" w:history="1">
            <w:r w:rsidR="003C33FE" w:rsidRPr="000F6785">
              <w:rPr>
                <w:rStyle w:val="Hyperlink"/>
                <w:rFonts w:eastAsiaTheme="majorEastAsia"/>
                <w:noProof/>
              </w:rPr>
              <w:t>Smoking</w:t>
            </w:r>
            <w:r w:rsidR="003C33FE">
              <w:rPr>
                <w:noProof/>
                <w:webHidden/>
              </w:rPr>
              <w:tab/>
            </w:r>
            <w:r w:rsidR="003C33FE">
              <w:rPr>
                <w:noProof/>
                <w:webHidden/>
              </w:rPr>
              <w:fldChar w:fldCharType="begin"/>
            </w:r>
            <w:r w:rsidR="003C33FE">
              <w:rPr>
                <w:noProof/>
                <w:webHidden/>
              </w:rPr>
              <w:instrText xml:space="preserve"> PAGEREF _Toc149909572 \h </w:instrText>
            </w:r>
            <w:r w:rsidR="003C33FE">
              <w:rPr>
                <w:noProof/>
                <w:webHidden/>
              </w:rPr>
            </w:r>
            <w:r w:rsidR="003C33FE">
              <w:rPr>
                <w:noProof/>
                <w:webHidden/>
              </w:rPr>
              <w:fldChar w:fldCharType="separate"/>
            </w:r>
            <w:r w:rsidR="00737A06">
              <w:rPr>
                <w:noProof/>
                <w:webHidden/>
              </w:rPr>
              <w:t>2</w:t>
            </w:r>
            <w:r w:rsidR="003C33FE">
              <w:rPr>
                <w:noProof/>
                <w:webHidden/>
              </w:rPr>
              <w:fldChar w:fldCharType="end"/>
            </w:r>
          </w:hyperlink>
        </w:p>
        <w:p w14:paraId="3069DE17" w14:textId="296BCF94" w:rsidR="00FE2321" w:rsidRDefault="000C43EE" w:rsidP="00FE2321">
          <w:r>
            <w:rPr>
              <w:b/>
              <w:bCs/>
              <w:noProof/>
            </w:rPr>
            <w:fldChar w:fldCharType="end"/>
          </w:r>
        </w:p>
      </w:sdtContent>
    </w:sdt>
    <w:p w14:paraId="1179CA8B" w14:textId="77777777" w:rsidR="003C33FE" w:rsidRDefault="003C33FE" w:rsidP="00FE2321">
      <w:pPr>
        <w:pStyle w:val="Heading2"/>
        <w:jc w:val="center"/>
      </w:pPr>
    </w:p>
    <w:p w14:paraId="2D931B1B" w14:textId="34C1FFA9" w:rsidR="00FE2321" w:rsidRPr="00FE2321" w:rsidRDefault="00FE2321" w:rsidP="00FE2321">
      <w:pPr>
        <w:pStyle w:val="Heading2"/>
        <w:jc w:val="center"/>
      </w:pPr>
      <w:bookmarkStart w:id="8" w:name="_Toc149909567"/>
      <w:r>
        <w:t>Policy</w:t>
      </w:r>
      <w:bookmarkEnd w:id="8"/>
    </w:p>
    <w:p w14:paraId="44903429" w14:textId="1E8A05D0" w:rsidR="00062C1F" w:rsidRPr="003C33FE" w:rsidRDefault="000421EF" w:rsidP="00062C1F">
      <w:pPr>
        <w:jc w:val="center"/>
        <w:rPr>
          <w:color w:val="000000"/>
          <w:szCs w:val="24"/>
        </w:rPr>
      </w:pPr>
      <w:r w:rsidRPr="003C33FE">
        <w:rPr>
          <w:color w:val="000000"/>
          <w:szCs w:val="24"/>
        </w:rPr>
        <w:t>To ensure that the safety of the service user is maintained at all times.</w:t>
      </w:r>
    </w:p>
    <w:p w14:paraId="300DC83E" w14:textId="085BE94D" w:rsidR="000421EF" w:rsidRDefault="000421EF" w:rsidP="00062C1F">
      <w:pPr>
        <w:jc w:val="center"/>
      </w:pPr>
    </w:p>
    <w:p w14:paraId="4911E84B" w14:textId="77777777" w:rsidR="003C33FE" w:rsidRPr="00FE2321" w:rsidRDefault="003C33FE" w:rsidP="00062C1F">
      <w:pPr>
        <w:jc w:val="center"/>
      </w:pPr>
    </w:p>
    <w:p w14:paraId="7122F4D5" w14:textId="47106825" w:rsidR="002C6A6C" w:rsidRPr="000421EF" w:rsidRDefault="00FE2321" w:rsidP="000421EF">
      <w:pPr>
        <w:pStyle w:val="Heading2"/>
        <w:jc w:val="center"/>
      </w:pPr>
      <w:bookmarkStart w:id="9" w:name="_Toc149909568"/>
      <w:r w:rsidRPr="00FE2321">
        <w:t>P</w:t>
      </w:r>
      <w:r>
        <w:t>rocedure</w:t>
      </w:r>
      <w:bookmarkEnd w:id="9"/>
    </w:p>
    <w:p w14:paraId="5E0F541D" w14:textId="77777777" w:rsidR="003C33FE" w:rsidRDefault="000421EF" w:rsidP="003C33FE">
      <w:pPr>
        <w:pStyle w:val="Heading3"/>
      </w:pPr>
      <w:bookmarkStart w:id="10" w:name="_Toc149909569"/>
      <w:r w:rsidRPr="000421EF">
        <w:t xml:space="preserve">General </w:t>
      </w:r>
      <w:r w:rsidRPr="003C33FE">
        <w:t>Principles</w:t>
      </w:r>
      <w:bookmarkEnd w:id="10"/>
    </w:p>
    <w:p w14:paraId="4FD5DB67" w14:textId="619CF928" w:rsidR="000421EF" w:rsidRPr="003C33FE" w:rsidRDefault="000421EF" w:rsidP="003C33FE">
      <w:pPr>
        <w:rPr>
          <w:rFonts w:cstheme="majorBidi"/>
          <w:color w:val="21A699"/>
        </w:rPr>
      </w:pPr>
      <w:r w:rsidRPr="000421EF">
        <w:t>Antisocial behaviour due to the use of either alcohol or drugs is not acceptable.</w:t>
      </w:r>
    </w:p>
    <w:p w14:paraId="08747DC8" w14:textId="4B366AE3" w:rsidR="000421EF" w:rsidRDefault="000421EF" w:rsidP="002C6A6C">
      <w:pPr>
        <w:rPr>
          <w:color w:val="000000"/>
          <w:sz w:val="27"/>
          <w:szCs w:val="27"/>
        </w:rPr>
      </w:pPr>
    </w:p>
    <w:p w14:paraId="01AF5153" w14:textId="77777777" w:rsidR="003C33FE" w:rsidRDefault="003C33FE" w:rsidP="002C6A6C">
      <w:pPr>
        <w:rPr>
          <w:color w:val="000000"/>
          <w:sz w:val="27"/>
          <w:szCs w:val="27"/>
        </w:rPr>
      </w:pPr>
    </w:p>
    <w:p w14:paraId="1A297AAF" w14:textId="059C3BBC" w:rsidR="002C6A6C" w:rsidRDefault="000421EF" w:rsidP="003C33FE">
      <w:pPr>
        <w:pStyle w:val="Heading3"/>
      </w:pPr>
      <w:bookmarkStart w:id="11" w:name="_Toc149909570"/>
      <w:r w:rsidRPr="003C33FE">
        <w:t>Alcohol</w:t>
      </w:r>
      <w:bookmarkEnd w:id="11"/>
    </w:p>
    <w:p w14:paraId="61C54E1F" w14:textId="4CDFA13A" w:rsidR="000421EF" w:rsidRPr="003C33FE" w:rsidRDefault="000421EF" w:rsidP="000421EF">
      <w:pPr>
        <w:pStyle w:val="ListParagraph"/>
        <w:numPr>
          <w:ilvl w:val="0"/>
          <w:numId w:val="31"/>
        </w:numPr>
        <w:ind w:left="360"/>
        <w:rPr>
          <w:szCs w:val="24"/>
        </w:rPr>
      </w:pPr>
      <w:r w:rsidRPr="003C33FE">
        <w:rPr>
          <w:szCs w:val="24"/>
        </w:rPr>
        <w:t>Anyone in receipt of or accessing services should not behave so as to cause a nuisance, annoyance or offence to other people. This includes behaviours caused whilst under the influence of alcohol.</w:t>
      </w:r>
    </w:p>
    <w:p w14:paraId="3A38FB3F" w14:textId="77777777" w:rsidR="000421EF" w:rsidRPr="003C33FE" w:rsidRDefault="000421EF" w:rsidP="000421EF">
      <w:pPr>
        <w:pStyle w:val="ListParagraph"/>
        <w:ind w:left="360"/>
        <w:rPr>
          <w:szCs w:val="24"/>
        </w:rPr>
      </w:pPr>
    </w:p>
    <w:p w14:paraId="6952F937" w14:textId="173E5386" w:rsidR="000421EF" w:rsidRPr="003C33FE" w:rsidRDefault="000421EF" w:rsidP="000421EF">
      <w:pPr>
        <w:pStyle w:val="ListParagraph"/>
        <w:numPr>
          <w:ilvl w:val="0"/>
          <w:numId w:val="31"/>
        </w:numPr>
        <w:ind w:left="360"/>
        <w:rPr>
          <w:szCs w:val="24"/>
        </w:rPr>
      </w:pPr>
      <w:r w:rsidRPr="003C33FE">
        <w:rPr>
          <w:szCs w:val="24"/>
        </w:rPr>
        <w:t>It is appreciated that drinking can be an integral part of socialising, however, individual requirements will be noted in the service user’s risk assessment contained in their Person-Centred Care Plan. This will include:</w:t>
      </w:r>
    </w:p>
    <w:p w14:paraId="2F2F99C9" w14:textId="480C2BEC" w:rsidR="000421EF" w:rsidRPr="003C33FE" w:rsidRDefault="000421EF" w:rsidP="000421EF">
      <w:pPr>
        <w:pStyle w:val="ListParagraph"/>
        <w:numPr>
          <w:ilvl w:val="0"/>
          <w:numId w:val="29"/>
        </w:numPr>
        <w:ind w:left="720"/>
        <w:rPr>
          <w:szCs w:val="24"/>
        </w:rPr>
      </w:pPr>
      <w:r w:rsidRPr="003C33FE">
        <w:rPr>
          <w:szCs w:val="24"/>
        </w:rPr>
        <w:t>Any medical advice</w:t>
      </w:r>
    </w:p>
    <w:p w14:paraId="502B6F96" w14:textId="488D5B03" w:rsidR="000421EF" w:rsidRPr="003C33FE" w:rsidRDefault="000421EF" w:rsidP="000421EF">
      <w:pPr>
        <w:pStyle w:val="ListParagraph"/>
        <w:numPr>
          <w:ilvl w:val="0"/>
          <w:numId w:val="29"/>
        </w:numPr>
        <w:ind w:left="720"/>
        <w:rPr>
          <w:szCs w:val="24"/>
        </w:rPr>
      </w:pPr>
      <w:r w:rsidRPr="003C33FE">
        <w:rPr>
          <w:szCs w:val="24"/>
        </w:rPr>
        <w:t>Use of alcohol and effect on prescribed medication</w:t>
      </w:r>
    </w:p>
    <w:p w14:paraId="2D64B6D8" w14:textId="1E9E4079" w:rsidR="000421EF" w:rsidRPr="003C33FE" w:rsidRDefault="000421EF" w:rsidP="000421EF">
      <w:pPr>
        <w:pStyle w:val="ListParagraph"/>
        <w:numPr>
          <w:ilvl w:val="0"/>
          <w:numId w:val="29"/>
        </w:numPr>
        <w:ind w:left="720"/>
        <w:rPr>
          <w:szCs w:val="24"/>
        </w:rPr>
      </w:pPr>
      <w:r w:rsidRPr="003C33FE">
        <w:rPr>
          <w:szCs w:val="24"/>
        </w:rPr>
        <w:t>Use of alcohol and effect on un-prescribed medication</w:t>
      </w:r>
    </w:p>
    <w:p w14:paraId="0BC73EC9" w14:textId="2C8B25AA" w:rsidR="000421EF" w:rsidRPr="003C33FE" w:rsidRDefault="000421EF" w:rsidP="000421EF">
      <w:pPr>
        <w:pStyle w:val="ListParagraph"/>
        <w:numPr>
          <w:ilvl w:val="0"/>
          <w:numId w:val="29"/>
        </w:numPr>
        <w:ind w:left="720"/>
        <w:rPr>
          <w:szCs w:val="24"/>
        </w:rPr>
      </w:pPr>
      <w:r w:rsidRPr="003C33FE">
        <w:rPr>
          <w:szCs w:val="24"/>
        </w:rPr>
        <w:t>Individual choice</w:t>
      </w:r>
    </w:p>
    <w:p w14:paraId="75C04EFA" w14:textId="751008FA" w:rsidR="000421EF" w:rsidRPr="003C33FE" w:rsidRDefault="000421EF" w:rsidP="000421EF">
      <w:pPr>
        <w:pStyle w:val="ListParagraph"/>
        <w:numPr>
          <w:ilvl w:val="0"/>
          <w:numId w:val="29"/>
        </w:numPr>
        <w:ind w:left="720"/>
        <w:rPr>
          <w:szCs w:val="24"/>
        </w:rPr>
      </w:pPr>
      <w:r w:rsidRPr="003C33FE">
        <w:rPr>
          <w:szCs w:val="24"/>
        </w:rPr>
        <w:t>Health issues</w:t>
      </w:r>
    </w:p>
    <w:p w14:paraId="6DA2C23B" w14:textId="4C469940" w:rsidR="000421EF" w:rsidRPr="003C33FE" w:rsidRDefault="000421EF" w:rsidP="000421EF">
      <w:pPr>
        <w:pStyle w:val="ListParagraph"/>
        <w:numPr>
          <w:ilvl w:val="0"/>
          <w:numId w:val="29"/>
        </w:numPr>
        <w:ind w:left="720"/>
        <w:rPr>
          <w:szCs w:val="24"/>
        </w:rPr>
      </w:pPr>
      <w:r w:rsidRPr="003C33FE">
        <w:rPr>
          <w:szCs w:val="24"/>
        </w:rPr>
        <w:t>Implications for staff</w:t>
      </w:r>
    </w:p>
    <w:p w14:paraId="4B7201F8" w14:textId="77777777" w:rsidR="000421EF" w:rsidRPr="003C33FE" w:rsidRDefault="000421EF" w:rsidP="000421EF">
      <w:pPr>
        <w:pStyle w:val="ListParagraph"/>
        <w:rPr>
          <w:szCs w:val="24"/>
        </w:rPr>
      </w:pPr>
    </w:p>
    <w:p w14:paraId="0DE28FF3" w14:textId="0FAE5378" w:rsidR="00C67FEE" w:rsidRPr="003C33FE" w:rsidRDefault="000421EF" w:rsidP="003C33FE">
      <w:pPr>
        <w:pStyle w:val="ListParagraph"/>
        <w:numPr>
          <w:ilvl w:val="0"/>
          <w:numId w:val="31"/>
        </w:numPr>
        <w:ind w:left="360"/>
        <w:rPr>
          <w:szCs w:val="24"/>
        </w:rPr>
      </w:pPr>
      <w:r w:rsidRPr="003C33FE">
        <w:rPr>
          <w:szCs w:val="24"/>
        </w:rPr>
        <w:t>An entry must be made in the daily / communication record / daily notes of any antisocial behaviour due to alcohol and reported to the supervisor / manager and where possible recorded on IAS.</w:t>
      </w:r>
    </w:p>
    <w:p w14:paraId="1EF36EAF" w14:textId="77777777" w:rsidR="000421EF" w:rsidRPr="003C33FE" w:rsidRDefault="000421EF" w:rsidP="000421EF">
      <w:pPr>
        <w:pStyle w:val="ListParagraph"/>
        <w:ind w:left="360"/>
        <w:rPr>
          <w:szCs w:val="24"/>
        </w:rPr>
      </w:pPr>
    </w:p>
    <w:p w14:paraId="1B9832DA" w14:textId="28C4EA7B" w:rsidR="000421EF" w:rsidRPr="003C33FE" w:rsidRDefault="000421EF" w:rsidP="00C67FEE">
      <w:pPr>
        <w:pStyle w:val="ListParagraph"/>
        <w:numPr>
          <w:ilvl w:val="0"/>
          <w:numId w:val="31"/>
        </w:numPr>
        <w:ind w:left="360"/>
        <w:rPr>
          <w:szCs w:val="24"/>
        </w:rPr>
      </w:pPr>
      <w:r w:rsidRPr="003C33FE">
        <w:rPr>
          <w:szCs w:val="24"/>
        </w:rPr>
        <w:t>Adult Social Care must be notified, and consulted if necessary, by the supervisor / manager, of ongoing behaviour which causes a nuisance, annoyance or offence to other people. Failure to comply with this risk assessment could result in the re-assessment or termination of services.</w:t>
      </w:r>
    </w:p>
    <w:p w14:paraId="22B602ED" w14:textId="77777777" w:rsidR="000421EF" w:rsidRPr="003C33FE" w:rsidRDefault="000421EF" w:rsidP="000421EF">
      <w:pPr>
        <w:pStyle w:val="ListParagraph"/>
        <w:ind w:left="360"/>
        <w:rPr>
          <w:szCs w:val="24"/>
        </w:rPr>
      </w:pPr>
    </w:p>
    <w:p w14:paraId="01D61949" w14:textId="207407A4" w:rsidR="000421EF" w:rsidRPr="003C33FE" w:rsidRDefault="000421EF" w:rsidP="000421EF">
      <w:pPr>
        <w:pStyle w:val="ListParagraph"/>
        <w:numPr>
          <w:ilvl w:val="0"/>
          <w:numId w:val="31"/>
        </w:numPr>
        <w:ind w:left="360"/>
        <w:rPr>
          <w:szCs w:val="24"/>
        </w:rPr>
      </w:pPr>
      <w:r w:rsidRPr="003C33FE">
        <w:rPr>
          <w:szCs w:val="24"/>
        </w:rPr>
        <w:t>Where there are concerns about the level of alcohol consumed by an individual service user this must be discussed with the supervisor / manager who may need to seek advice.</w:t>
      </w:r>
    </w:p>
    <w:p w14:paraId="1BA7EE84" w14:textId="77777777" w:rsidR="000421EF" w:rsidRPr="003C33FE" w:rsidRDefault="000421EF" w:rsidP="000421EF">
      <w:pPr>
        <w:ind w:left="360"/>
        <w:rPr>
          <w:bCs/>
          <w:iCs/>
          <w:szCs w:val="24"/>
        </w:rPr>
      </w:pPr>
      <w:r w:rsidRPr="003C33FE">
        <w:rPr>
          <w:szCs w:val="24"/>
        </w:rPr>
        <w:t xml:space="preserve">For Extra Care Housing / Supported Living &amp; Support at home Services It is not the responsibility of Cumbria Care staff to remove alcohol from </w:t>
      </w:r>
      <w:r w:rsidRPr="003C33FE">
        <w:rPr>
          <w:bCs/>
          <w:iCs/>
          <w:szCs w:val="24"/>
        </w:rPr>
        <w:t>a service user as this is their property. Where there are concerns, staff should speak to their line manager.</w:t>
      </w:r>
    </w:p>
    <w:p w14:paraId="14760D88" w14:textId="77777777" w:rsidR="000421EF" w:rsidRPr="003C33FE" w:rsidRDefault="000421EF" w:rsidP="000421EF">
      <w:pPr>
        <w:ind w:left="360"/>
        <w:rPr>
          <w:szCs w:val="24"/>
        </w:rPr>
      </w:pPr>
      <w:r w:rsidRPr="003C33FE">
        <w:rPr>
          <w:szCs w:val="24"/>
        </w:rPr>
        <w:t>The Manager may need to seek advice from either / or Adult Social Care and a Health Care Professional. The service user / advocate will also need to be informed.</w:t>
      </w:r>
    </w:p>
    <w:p w14:paraId="24DF1440" w14:textId="57B85C20" w:rsidR="002C6A6C" w:rsidRDefault="002C6A6C" w:rsidP="002C6A6C">
      <w:pPr>
        <w:rPr>
          <w:szCs w:val="24"/>
        </w:rPr>
      </w:pPr>
    </w:p>
    <w:p w14:paraId="56B31655" w14:textId="77777777" w:rsidR="003C33FE" w:rsidRPr="003C33FE" w:rsidRDefault="003C33FE" w:rsidP="002C6A6C">
      <w:pPr>
        <w:rPr>
          <w:szCs w:val="24"/>
        </w:rPr>
      </w:pPr>
    </w:p>
    <w:p w14:paraId="3C02A01F" w14:textId="371359EE" w:rsidR="002C6A6C" w:rsidRPr="003C33FE" w:rsidRDefault="000421EF" w:rsidP="003C33FE">
      <w:pPr>
        <w:pStyle w:val="Heading3"/>
      </w:pPr>
      <w:bookmarkStart w:id="12" w:name="_Toc149909571"/>
      <w:r w:rsidRPr="003C33FE">
        <w:t>Drugs</w:t>
      </w:r>
      <w:bookmarkEnd w:id="12"/>
    </w:p>
    <w:p w14:paraId="4FE10470" w14:textId="77777777" w:rsidR="000421EF" w:rsidRPr="003C33FE" w:rsidRDefault="000421EF" w:rsidP="000421EF">
      <w:pPr>
        <w:rPr>
          <w:szCs w:val="24"/>
        </w:rPr>
      </w:pPr>
      <w:r w:rsidRPr="003C33FE">
        <w:rPr>
          <w:szCs w:val="24"/>
        </w:rPr>
        <w:t>The use or supplying of illegal drugs, or misuse of legal drugs (e.g. prescribed medication or over the counter medication), is unacceptable in any circumstances. Consequences of this will be discussed should the need arise. This may include police involvement.</w:t>
      </w:r>
    </w:p>
    <w:p w14:paraId="06742391" w14:textId="77777777" w:rsidR="000421EF" w:rsidRPr="003C33FE" w:rsidRDefault="000421EF" w:rsidP="000421EF">
      <w:pPr>
        <w:rPr>
          <w:szCs w:val="24"/>
        </w:rPr>
      </w:pPr>
      <w:r w:rsidRPr="003C33FE">
        <w:rPr>
          <w:szCs w:val="24"/>
        </w:rPr>
        <w:t>Any suspicion of a service user misusing drugs must be reported to the supervisor / manager who will then seek appropriate advice.</w:t>
      </w:r>
    </w:p>
    <w:p w14:paraId="71A57791" w14:textId="1C3E253A" w:rsidR="002C6A6C" w:rsidRDefault="002C6A6C" w:rsidP="002C6A6C">
      <w:pPr>
        <w:rPr>
          <w:szCs w:val="24"/>
        </w:rPr>
      </w:pPr>
    </w:p>
    <w:p w14:paraId="1726E06A" w14:textId="77777777" w:rsidR="003C33FE" w:rsidRPr="003C33FE" w:rsidRDefault="003C33FE" w:rsidP="002C6A6C">
      <w:pPr>
        <w:rPr>
          <w:szCs w:val="24"/>
        </w:rPr>
      </w:pPr>
    </w:p>
    <w:p w14:paraId="7C96F4CD" w14:textId="268F1DBE" w:rsidR="002C6A6C" w:rsidRPr="003C33FE" w:rsidRDefault="002C6A6C" w:rsidP="003C33FE">
      <w:pPr>
        <w:pStyle w:val="Heading3"/>
      </w:pPr>
      <w:bookmarkStart w:id="13" w:name="_Toc149909572"/>
      <w:r w:rsidRPr="003C33FE">
        <w:t>S</w:t>
      </w:r>
      <w:r w:rsidR="000421EF" w:rsidRPr="003C33FE">
        <w:t>moking</w:t>
      </w:r>
      <w:bookmarkEnd w:id="13"/>
    </w:p>
    <w:p w14:paraId="46782649" w14:textId="77777777" w:rsidR="000421EF" w:rsidRPr="003C33FE" w:rsidRDefault="000421EF" w:rsidP="000421EF">
      <w:pPr>
        <w:rPr>
          <w:szCs w:val="24"/>
        </w:rPr>
      </w:pPr>
      <w:r w:rsidRPr="003C33FE">
        <w:rPr>
          <w:szCs w:val="24"/>
        </w:rPr>
        <w:t>Residential services - Cumbria Care operates a no smoking policy within its buildings. However, in order to respect the rights of those service users who do smoke, this will only be permitted in the homes where there is a designated smoking area outside the home. Smoking/vaping is limited to these areas only.</w:t>
      </w:r>
    </w:p>
    <w:p w14:paraId="0A618867" w14:textId="77777777" w:rsidR="000421EF" w:rsidRPr="003C33FE" w:rsidRDefault="000421EF" w:rsidP="000421EF">
      <w:pPr>
        <w:rPr>
          <w:szCs w:val="24"/>
        </w:rPr>
      </w:pPr>
      <w:r w:rsidRPr="003C33FE">
        <w:rPr>
          <w:szCs w:val="24"/>
        </w:rPr>
        <w:t>Other Services - Smoking is only allowed subject to their tenancy agreement / own flat / house. To ensure the staff’s health and wellbeing is taken into consideration Cumbria Care ask that where a service user does smoke in their own home they will be asked to refrain from smoking when staff are supporting them with their care and support requirements. Family members / visitors will also be asked to refrain from smoking whilst Cumbria Care staff are present.</w:t>
      </w:r>
    </w:p>
    <w:p w14:paraId="37B75CA9" w14:textId="77777777" w:rsidR="000421EF" w:rsidRPr="003C33FE" w:rsidRDefault="000421EF" w:rsidP="000421EF">
      <w:pPr>
        <w:rPr>
          <w:szCs w:val="24"/>
        </w:rPr>
      </w:pPr>
      <w:r w:rsidRPr="003C33FE">
        <w:rPr>
          <w:szCs w:val="24"/>
        </w:rPr>
        <w:t>Individual risk assessments will be included in the service user’s person-centred care / support plans. This will include:</w:t>
      </w:r>
    </w:p>
    <w:p w14:paraId="48B34821" w14:textId="77777777" w:rsidR="000421EF" w:rsidRPr="003C33FE" w:rsidRDefault="000421EF" w:rsidP="000421EF">
      <w:pPr>
        <w:pStyle w:val="ListParagraph"/>
        <w:numPr>
          <w:ilvl w:val="0"/>
          <w:numId w:val="33"/>
        </w:numPr>
        <w:rPr>
          <w:szCs w:val="24"/>
        </w:rPr>
      </w:pPr>
      <w:r w:rsidRPr="003C33FE">
        <w:rPr>
          <w:szCs w:val="24"/>
        </w:rPr>
        <w:t>Any medical advice</w:t>
      </w:r>
    </w:p>
    <w:p w14:paraId="6E725A35" w14:textId="465F14F1" w:rsidR="000421EF" w:rsidRPr="003C33FE" w:rsidRDefault="000421EF" w:rsidP="000421EF">
      <w:pPr>
        <w:pStyle w:val="ListParagraph"/>
        <w:numPr>
          <w:ilvl w:val="0"/>
          <w:numId w:val="33"/>
        </w:numPr>
        <w:rPr>
          <w:szCs w:val="24"/>
        </w:rPr>
      </w:pPr>
      <w:r w:rsidRPr="003C33FE">
        <w:rPr>
          <w:szCs w:val="24"/>
        </w:rPr>
        <w:t>Individual choice</w:t>
      </w:r>
    </w:p>
    <w:p w14:paraId="33FB8436" w14:textId="3BC553CE" w:rsidR="000421EF" w:rsidRPr="003C33FE" w:rsidRDefault="000421EF" w:rsidP="000421EF">
      <w:pPr>
        <w:pStyle w:val="ListParagraph"/>
        <w:numPr>
          <w:ilvl w:val="0"/>
          <w:numId w:val="33"/>
        </w:numPr>
        <w:rPr>
          <w:szCs w:val="24"/>
        </w:rPr>
      </w:pPr>
      <w:r w:rsidRPr="003C33FE">
        <w:rPr>
          <w:szCs w:val="24"/>
        </w:rPr>
        <w:t>Health issues</w:t>
      </w:r>
    </w:p>
    <w:p w14:paraId="27305F5E" w14:textId="77777777" w:rsidR="00340ECB" w:rsidRPr="003C33FE" w:rsidRDefault="00340ECB" w:rsidP="00340ECB">
      <w:pPr>
        <w:rPr>
          <w:szCs w:val="24"/>
        </w:rPr>
      </w:pPr>
    </w:p>
    <w:p w14:paraId="7AC558FD" w14:textId="5B74B6FF" w:rsidR="00665F49" w:rsidRPr="003C33FE" w:rsidRDefault="00665F49" w:rsidP="000421EF">
      <w:pPr>
        <w:rPr>
          <w:szCs w:val="24"/>
        </w:rPr>
      </w:pPr>
    </w:p>
    <w:sectPr w:rsidR="00665F49" w:rsidRPr="003C33FE"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D04C" w14:textId="77777777" w:rsidR="00667EEC" w:rsidRDefault="00667EEC">
      <w:r>
        <w:separator/>
      </w:r>
    </w:p>
  </w:endnote>
  <w:endnote w:type="continuationSeparator" w:id="0">
    <w:p w14:paraId="324FA9A1" w14:textId="77777777" w:rsidR="00667EEC" w:rsidRDefault="00667EEC">
      <w:r>
        <w:continuationSeparator/>
      </w:r>
    </w:p>
  </w:endnote>
  <w:endnote w:type="continuationNotice" w:id="1">
    <w:p w14:paraId="5765DFB1" w14:textId="77777777" w:rsidR="00667EEC" w:rsidRDefault="0066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2D10" w14:textId="77777777" w:rsidR="00667EEC" w:rsidRDefault="00667EEC">
      <w:bookmarkStart w:id="0" w:name="_Hlk83390648"/>
      <w:bookmarkEnd w:id="0"/>
      <w:r>
        <w:separator/>
      </w:r>
    </w:p>
  </w:footnote>
  <w:footnote w:type="continuationSeparator" w:id="0">
    <w:p w14:paraId="21D526FE" w14:textId="77777777" w:rsidR="00667EEC" w:rsidRDefault="00667EEC">
      <w:r>
        <w:continuationSeparator/>
      </w:r>
    </w:p>
  </w:footnote>
  <w:footnote w:type="continuationNotice" w:id="1">
    <w:p w14:paraId="4CBBC702" w14:textId="77777777" w:rsidR="00667EEC" w:rsidRDefault="00667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4BAB9970" w:rsidR="00CE7615" w:rsidRPr="00CE7615" w:rsidRDefault="00000000" w:rsidP="00CE7615">
    <w:pPr>
      <w:pStyle w:val="Header"/>
    </w:pPr>
    <w:fldSimple w:instr=" FILENAME \* MERGEFORMAT ">
      <w:r w:rsidR="00737A06">
        <w:rPr>
          <w:noProof/>
        </w:rPr>
        <w:t>Drug and Alcohol Policy for Service Users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360" w:hanging="360"/>
      </w:pPr>
      <w:rPr>
        <w:rFonts w:ascii="Symbol" w:hAnsi="Symbol"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10351"/>
    <w:multiLevelType w:val="hybridMultilevel"/>
    <w:tmpl w:val="A3E0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F012F"/>
    <w:multiLevelType w:val="hybridMultilevel"/>
    <w:tmpl w:val="E462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965"/>
    <w:multiLevelType w:val="hybridMultilevel"/>
    <w:tmpl w:val="D69469D6"/>
    <w:lvl w:ilvl="0" w:tplc="2DBCF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1661C"/>
    <w:multiLevelType w:val="hybridMultilevel"/>
    <w:tmpl w:val="0FC0B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C0B5F"/>
    <w:multiLevelType w:val="hybridMultilevel"/>
    <w:tmpl w:val="F750842A"/>
    <w:lvl w:ilvl="0" w:tplc="95BCD140">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6247EC"/>
    <w:multiLevelType w:val="hybridMultilevel"/>
    <w:tmpl w:val="F45E525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5D507B0"/>
    <w:multiLevelType w:val="hybridMultilevel"/>
    <w:tmpl w:val="454E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D06E0"/>
    <w:multiLevelType w:val="hybridMultilevel"/>
    <w:tmpl w:val="5C988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5628F"/>
    <w:multiLevelType w:val="hybridMultilevel"/>
    <w:tmpl w:val="B8A0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6979E9"/>
    <w:multiLevelType w:val="hybridMultilevel"/>
    <w:tmpl w:val="B4BE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767CF"/>
    <w:multiLevelType w:val="hybridMultilevel"/>
    <w:tmpl w:val="6B482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CB47F0B"/>
    <w:multiLevelType w:val="hybridMultilevel"/>
    <w:tmpl w:val="476EC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E2F5B"/>
    <w:multiLevelType w:val="hybridMultilevel"/>
    <w:tmpl w:val="D1289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F0EDC"/>
    <w:multiLevelType w:val="hybridMultilevel"/>
    <w:tmpl w:val="5BB6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E3B7A"/>
    <w:multiLevelType w:val="hybridMultilevel"/>
    <w:tmpl w:val="D6A2BC0C"/>
    <w:lvl w:ilvl="0" w:tplc="0809000F">
      <w:start w:val="1"/>
      <w:numFmt w:val="decimal"/>
      <w:lvlText w:val="%1."/>
      <w:lvlJc w:val="left"/>
      <w:pPr>
        <w:ind w:left="720" w:hanging="360"/>
      </w:pPr>
      <w:rPr>
        <w:rFonts w:hint="default"/>
      </w:rPr>
    </w:lvl>
    <w:lvl w:ilvl="1" w:tplc="D03E6E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D022F"/>
    <w:multiLevelType w:val="hybridMultilevel"/>
    <w:tmpl w:val="7B16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AE1123"/>
    <w:multiLevelType w:val="hybridMultilevel"/>
    <w:tmpl w:val="4984A0FC"/>
    <w:lvl w:ilvl="0" w:tplc="FFFFFFFF">
      <w:start w:val="1"/>
      <w:numFmt w:val="bullet"/>
      <w:lvlText w:val=""/>
      <w:lvlJc w:val="left"/>
      <w:pPr>
        <w:ind w:left="216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 w15:restartNumberingAfterBreak="0">
    <w:nsid w:val="59AA2A2D"/>
    <w:multiLevelType w:val="hybridMultilevel"/>
    <w:tmpl w:val="5C86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4F0"/>
    <w:multiLevelType w:val="hybridMultilevel"/>
    <w:tmpl w:val="666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746FBA"/>
    <w:multiLevelType w:val="hybridMultilevel"/>
    <w:tmpl w:val="18C8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72174"/>
    <w:multiLevelType w:val="hybridMultilevel"/>
    <w:tmpl w:val="0510BAB0"/>
    <w:lvl w:ilvl="0" w:tplc="95BCD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C79D6"/>
    <w:multiLevelType w:val="hybridMultilevel"/>
    <w:tmpl w:val="A5787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A161F"/>
    <w:multiLevelType w:val="hybridMultilevel"/>
    <w:tmpl w:val="C65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CA1DB4"/>
    <w:multiLevelType w:val="hybridMultilevel"/>
    <w:tmpl w:val="94F04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582E4F"/>
    <w:multiLevelType w:val="hybridMultilevel"/>
    <w:tmpl w:val="F892B7F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182160">
    <w:abstractNumId w:val="27"/>
  </w:num>
  <w:num w:numId="2" w16cid:durableId="653028147">
    <w:abstractNumId w:val="3"/>
  </w:num>
  <w:num w:numId="3" w16cid:durableId="1220703856">
    <w:abstractNumId w:val="0"/>
  </w:num>
  <w:num w:numId="4" w16cid:durableId="572087689">
    <w:abstractNumId w:val="9"/>
  </w:num>
  <w:num w:numId="5" w16cid:durableId="1838034515">
    <w:abstractNumId w:val="14"/>
  </w:num>
  <w:num w:numId="6" w16cid:durableId="307321873">
    <w:abstractNumId w:val="11"/>
  </w:num>
  <w:num w:numId="7" w16cid:durableId="1406995691">
    <w:abstractNumId w:val="28"/>
  </w:num>
  <w:num w:numId="8" w16cid:durableId="534853865">
    <w:abstractNumId w:val="29"/>
  </w:num>
  <w:num w:numId="9" w16cid:durableId="170265117">
    <w:abstractNumId w:val="20"/>
  </w:num>
  <w:num w:numId="10" w16cid:durableId="1666278557">
    <w:abstractNumId w:val="10"/>
  </w:num>
  <w:num w:numId="11" w16cid:durableId="1459642739">
    <w:abstractNumId w:val="1"/>
  </w:num>
  <w:num w:numId="12" w16cid:durableId="1078670004">
    <w:abstractNumId w:val="2"/>
  </w:num>
  <w:num w:numId="13" w16cid:durableId="900478350">
    <w:abstractNumId w:val="12"/>
  </w:num>
  <w:num w:numId="14" w16cid:durableId="1098065557">
    <w:abstractNumId w:val="25"/>
  </w:num>
  <w:num w:numId="15" w16cid:durableId="1558736690">
    <w:abstractNumId w:val="4"/>
  </w:num>
  <w:num w:numId="16" w16cid:durableId="707267710">
    <w:abstractNumId w:val="19"/>
  </w:num>
  <w:num w:numId="17" w16cid:durableId="324477086">
    <w:abstractNumId w:val="24"/>
  </w:num>
  <w:num w:numId="18" w16cid:durableId="2033995471">
    <w:abstractNumId w:val="6"/>
  </w:num>
  <w:num w:numId="19" w16cid:durableId="647436710">
    <w:abstractNumId w:val="15"/>
  </w:num>
  <w:num w:numId="20" w16cid:durableId="202211075">
    <w:abstractNumId w:val="22"/>
  </w:num>
  <w:num w:numId="21" w16cid:durableId="884489546">
    <w:abstractNumId w:val="30"/>
  </w:num>
  <w:num w:numId="22" w16cid:durableId="1803880869">
    <w:abstractNumId w:val="13"/>
  </w:num>
  <w:num w:numId="23" w16cid:durableId="1838692917">
    <w:abstractNumId w:val="23"/>
  </w:num>
  <w:num w:numId="24" w16cid:durableId="1739862553">
    <w:abstractNumId w:val="7"/>
  </w:num>
  <w:num w:numId="25" w16cid:durableId="682898025">
    <w:abstractNumId w:val="21"/>
  </w:num>
  <w:num w:numId="26" w16cid:durableId="460729504">
    <w:abstractNumId w:val="18"/>
  </w:num>
  <w:num w:numId="27" w16cid:durableId="2001225082">
    <w:abstractNumId w:val="5"/>
  </w:num>
  <w:num w:numId="28" w16cid:durableId="1406486588">
    <w:abstractNumId w:val="32"/>
  </w:num>
  <w:num w:numId="29" w16cid:durableId="635111370">
    <w:abstractNumId w:val="31"/>
  </w:num>
  <w:num w:numId="30" w16cid:durableId="112671211">
    <w:abstractNumId w:val="16"/>
  </w:num>
  <w:num w:numId="31" w16cid:durableId="116142499">
    <w:abstractNumId w:val="26"/>
  </w:num>
  <w:num w:numId="32" w16cid:durableId="123429896">
    <w:abstractNumId w:val="17"/>
  </w:num>
  <w:num w:numId="33" w16cid:durableId="1329400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421EF"/>
    <w:rsid w:val="000629BA"/>
    <w:rsid w:val="00062C1F"/>
    <w:rsid w:val="0006780F"/>
    <w:rsid w:val="000943C9"/>
    <w:rsid w:val="00094F84"/>
    <w:rsid w:val="000951EC"/>
    <w:rsid w:val="000A2521"/>
    <w:rsid w:val="000B66DD"/>
    <w:rsid w:val="000C43EE"/>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B0491"/>
    <w:rsid w:val="001C4E40"/>
    <w:rsid w:val="001C69E3"/>
    <w:rsid w:val="001F3DFC"/>
    <w:rsid w:val="00206D50"/>
    <w:rsid w:val="0023193D"/>
    <w:rsid w:val="002452A9"/>
    <w:rsid w:val="002708D1"/>
    <w:rsid w:val="0027608C"/>
    <w:rsid w:val="00290501"/>
    <w:rsid w:val="00291CE2"/>
    <w:rsid w:val="002A29D5"/>
    <w:rsid w:val="002B5C33"/>
    <w:rsid w:val="002C6A6C"/>
    <w:rsid w:val="002D3EEA"/>
    <w:rsid w:val="00330F2D"/>
    <w:rsid w:val="00340CED"/>
    <w:rsid w:val="00340ECB"/>
    <w:rsid w:val="00341006"/>
    <w:rsid w:val="00351F24"/>
    <w:rsid w:val="00372F83"/>
    <w:rsid w:val="00373B87"/>
    <w:rsid w:val="003A0040"/>
    <w:rsid w:val="003A0166"/>
    <w:rsid w:val="003A435A"/>
    <w:rsid w:val="003B015E"/>
    <w:rsid w:val="003C33FE"/>
    <w:rsid w:val="003E1B54"/>
    <w:rsid w:val="003E3D7B"/>
    <w:rsid w:val="00400DE7"/>
    <w:rsid w:val="00404873"/>
    <w:rsid w:val="0042446D"/>
    <w:rsid w:val="00444220"/>
    <w:rsid w:val="00446295"/>
    <w:rsid w:val="00465B03"/>
    <w:rsid w:val="0047769F"/>
    <w:rsid w:val="00486499"/>
    <w:rsid w:val="00490ECA"/>
    <w:rsid w:val="004920F1"/>
    <w:rsid w:val="004C1D56"/>
    <w:rsid w:val="00591F0A"/>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67EEC"/>
    <w:rsid w:val="0067006D"/>
    <w:rsid w:val="00670D83"/>
    <w:rsid w:val="006967BB"/>
    <w:rsid w:val="006B3A6C"/>
    <w:rsid w:val="006D209A"/>
    <w:rsid w:val="006E27C9"/>
    <w:rsid w:val="006E5B54"/>
    <w:rsid w:val="006E6859"/>
    <w:rsid w:val="006F6FC7"/>
    <w:rsid w:val="006F762F"/>
    <w:rsid w:val="0070210F"/>
    <w:rsid w:val="00712031"/>
    <w:rsid w:val="007127C7"/>
    <w:rsid w:val="007160CD"/>
    <w:rsid w:val="00720908"/>
    <w:rsid w:val="007222CD"/>
    <w:rsid w:val="00737A06"/>
    <w:rsid w:val="00746BB1"/>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75A24"/>
    <w:rsid w:val="00882E2B"/>
    <w:rsid w:val="00893091"/>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6709"/>
    <w:rsid w:val="009A1784"/>
    <w:rsid w:val="009B79E0"/>
    <w:rsid w:val="009E2B7C"/>
    <w:rsid w:val="009E56CD"/>
    <w:rsid w:val="009E59C1"/>
    <w:rsid w:val="00A025D0"/>
    <w:rsid w:val="00A151E1"/>
    <w:rsid w:val="00A3320D"/>
    <w:rsid w:val="00A53B2B"/>
    <w:rsid w:val="00A57709"/>
    <w:rsid w:val="00A649C4"/>
    <w:rsid w:val="00A91497"/>
    <w:rsid w:val="00A92886"/>
    <w:rsid w:val="00A928AA"/>
    <w:rsid w:val="00AA5817"/>
    <w:rsid w:val="00AA7DFF"/>
    <w:rsid w:val="00AB70FE"/>
    <w:rsid w:val="00AE0785"/>
    <w:rsid w:val="00AF10DB"/>
    <w:rsid w:val="00B11C4B"/>
    <w:rsid w:val="00B5486C"/>
    <w:rsid w:val="00B64BB9"/>
    <w:rsid w:val="00B677BB"/>
    <w:rsid w:val="00B738B0"/>
    <w:rsid w:val="00B75A1C"/>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67FEE"/>
    <w:rsid w:val="00C94BF8"/>
    <w:rsid w:val="00CA04C3"/>
    <w:rsid w:val="00CA6B0E"/>
    <w:rsid w:val="00CB07FE"/>
    <w:rsid w:val="00CD51A5"/>
    <w:rsid w:val="00CD6E96"/>
    <w:rsid w:val="00CE09CD"/>
    <w:rsid w:val="00CE0D10"/>
    <w:rsid w:val="00CE7615"/>
    <w:rsid w:val="00CF0065"/>
    <w:rsid w:val="00CF4425"/>
    <w:rsid w:val="00D0758B"/>
    <w:rsid w:val="00D266CE"/>
    <w:rsid w:val="00D354A6"/>
    <w:rsid w:val="00D35919"/>
    <w:rsid w:val="00D50431"/>
    <w:rsid w:val="00D50867"/>
    <w:rsid w:val="00D53BEB"/>
    <w:rsid w:val="00D620DC"/>
    <w:rsid w:val="00D701CB"/>
    <w:rsid w:val="00D83C90"/>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64348"/>
    <w:rsid w:val="00F711C2"/>
    <w:rsid w:val="00F71CCA"/>
    <w:rsid w:val="00F902FE"/>
    <w:rsid w:val="00F931C4"/>
    <w:rsid w:val="00FA66FF"/>
    <w:rsid w:val="00FB54B7"/>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340ECB"/>
    <w:pPr>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6962">
      <w:bodyDiv w:val="1"/>
      <w:marLeft w:val="0"/>
      <w:marRight w:val="0"/>
      <w:marTop w:val="0"/>
      <w:marBottom w:val="0"/>
      <w:divBdr>
        <w:top w:val="none" w:sz="0" w:space="0" w:color="auto"/>
        <w:left w:val="none" w:sz="0" w:space="0" w:color="auto"/>
        <w:bottom w:val="none" w:sz="0" w:space="0" w:color="auto"/>
        <w:right w:val="none" w:sz="0" w:space="0" w:color="auto"/>
      </w:divBdr>
    </w:div>
    <w:div w:id="421343255">
      <w:bodyDiv w:val="1"/>
      <w:marLeft w:val="0"/>
      <w:marRight w:val="0"/>
      <w:marTop w:val="0"/>
      <w:marBottom w:val="0"/>
      <w:divBdr>
        <w:top w:val="none" w:sz="0" w:space="0" w:color="auto"/>
        <w:left w:val="none" w:sz="0" w:space="0" w:color="auto"/>
        <w:bottom w:val="none" w:sz="0" w:space="0" w:color="auto"/>
        <w:right w:val="none" w:sz="0" w:space="0" w:color="auto"/>
      </w:divBdr>
    </w:div>
    <w:div w:id="623846357">
      <w:bodyDiv w:val="1"/>
      <w:marLeft w:val="0"/>
      <w:marRight w:val="0"/>
      <w:marTop w:val="0"/>
      <w:marBottom w:val="0"/>
      <w:divBdr>
        <w:top w:val="none" w:sz="0" w:space="0" w:color="auto"/>
        <w:left w:val="none" w:sz="0" w:space="0" w:color="auto"/>
        <w:bottom w:val="none" w:sz="0" w:space="0" w:color="auto"/>
        <w:right w:val="none" w:sz="0" w:space="0" w:color="auto"/>
      </w:divBdr>
    </w:div>
    <w:div w:id="673385305">
      <w:bodyDiv w:val="1"/>
      <w:marLeft w:val="0"/>
      <w:marRight w:val="0"/>
      <w:marTop w:val="0"/>
      <w:marBottom w:val="0"/>
      <w:divBdr>
        <w:top w:val="none" w:sz="0" w:space="0" w:color="auto"/>
        <w:left w:val="none" w:sz="0" w:space="0" w:color="auto"/>
        <w:bottom w:val="none" w:sz="0" w:space="0" w:color="auto"/>
        <w:right w:val="none" w:sz="0" w:space="0" w:color="auto"/>
      </w:divBdr>
    </w:div>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381512991">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718313578">
      <w:bodyDiv w:val="1"/>
      <w:marLeft w:val="0"/>
      <w:marRight w:val="0"/>
      <w:marTop w:val="0"/>
      <w:marBottom w:val="0"/>
      <w:divBdr>
        <w:top w:val="none" w:sz="0" w:space="0" w:color="auto"/>
        <w:left w:val="none" w:sz="0" w:space="0" w:color="auto"/>
        <w:bottom w:val="none" w:sz="0" w:space="0" w:color="auto"/>
        <w:right w:val="none" w:sz="0" w:space="0" w:color="auto"/>
      </w:divBdr>
    </w:div>
    <w:div w:id="1842236055">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1989626060">
      <w:bodyDiv w:val="1"/>
      <w:marLeft w:val="0"/>
      <w:marRight w:val="0"/>
      <w:marTop w:val="0"/>
      <w:marBottom w:val="0"/>
      <w:divBdr>
        <w:top w:val="none" w:sz="0" w:space="0" w:color="auto"/>
        <w:left w:val="none" w:sz="0" w:space="0" w:color="auto"/>
        <w:bottom w:val="none" w:sz="0" w:space="0" w:color="auto"/>
        <w:right w:val="none" w:sz="0" w:space="0" w:color="auto"/>
      </w:divBdr>
    </w:div>
    <w:div w:id="2056544533">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2.xml><?xml version="1.0" encoding="utf-8"?>
<ds:datastoreItem xmlns:ds="http://schemas.openxmlformats.org/officeDocument/2006/customXml" ds:itemID="{F8109B5C-3704-4B3E-A2EA-E489D63B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4.xml><?xml version="1.0" encoding="utf-8"?>
<ds:datastoreItem xmlns:ds="http://schemas.openxmlformats.org/officeDocument/2006/customXml" ds:itemID="{6A0DF5E9-BCA6-40A3-BB1B-C24636DC7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18</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7</cp:revision>
  <cp:lastPrinted>2023-11-20T09:58:00Z</cp:lastPrinted>
  <dcterms:created xsi:type="dcterms:W3CDTF">2023-10-19T10:13:00Z</dcterms:created>
  <dcterms:modified xsi:type="dcterms:W3CDTF">2023-11-20T09:58:00Z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