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E63A9" w14:textId="38547FC0" w:rsidR="005E2B12" w:rsidRDefault="005E2B12" w:rsidP="00FE2321">
      <w:pPr>
        <w:pStyle w:val="Heading1"/>
        <w:jc w:val="center"/>
      </w:pPr>
      <w:bookmarkStart w:id="1" w:name="_Toc148534847"/>
      <w:bookmarkStart w:id="2" w:name="_Toc150177054"/>
      <w:bookmarkStart w:id="3" w:name="_Toc148533098"/>
      <w:bookmarkStart w:id="4" w:name="_Toc148533335"/>
      <w:r w:rsidRPr="005E2B12">
        <w:t>C</w:t>
      </w:r>
      <w:bookmarkEnd w:id="1"/>
      <w:bookmarkEnd w:id="2"/>
      <w:r w:rsidR="00E40EBF">
        <w:t>onfidentiality</w:t>
      </w:r>
    </w:p>
    <w:p w14:paraId="7F7A6B57" w14:textId="0A0F4E22" w:rsidR="00FE2321" w:rsidRDefault="00FE2321" w:rsidP="00FE2321">
      <w:pPr>
        <w:pStyle w:val="Heading1"/>
        <w:jc w:val="center"/>
      </w:pPr>
      <w:bookmarkStart w:id="5" w:name="_Toc148534848"/>
      <w:bookmarkStart w:id="6" w:name="_Toc150177055"/>
      <w:r>
        <w:t>Westmorland and Furness Care Services</w:t>
      </w:r>
      <w:bookmarkEnd w:id="3"/>
      <w:bookmarkEnd w:id="4"/>
      <w:bookmarkEnd w:id="5"/>
      <w:bookmarkEnd w:id="6"/>
    </w:p>
    <w:p w14:paraId="0835182A" w14:textId="77777777" w:rsidR="00D60707" w:rsidRPr="00D60707" w:rsidRDefault="00D60707" w:rsidP="00D60707"/>
    <w:sdt>
      <w:sdtPr>
        <w:rPr>
          <w:rFonts w:ascii="Arial" w:eastAsia="Times New Roman" w:hAnsi="Arial" w:cs="Times New Roman"/>
          <w:color w:val="auto"/>
          <w:sz w:val="24"/>
          <w:szCs w:val="22"/>
          <w:lang w:val="en-GB" w:eastAsia="en-GB"/>
        </w:rPr>
        <w:id w:val="1592045262"/>
        <w:docPartObj>
          <w:docPartGallery w:val="Table of Contents"/>
          <w:docPartUnique/>
        </w:docPartObj>
      </w:sdtPr>
      <w:sdtEndPr>
        <w:rPr>
          <w:b/>
          <w:bCs/>
          <w:noProof/>
        </w:rPr>
      </w:sdtEndPr>
      <w:sdtContent>
        <w:p w14:paraId="1C2E9649" w14:textId="04C93A1F" w:rsidR="002912B3" w:rsidRPr="002912B3" w:rsidRDefault="000C43EE" w:rsidP="002912B3">
          <w:pPr>
            <w:pStyle w:val="TOCHeading"/>
            <w:jc w:val="center"/>
            <w:rPr>
              <w:rFonts w:ascii="Arial" w:hAnsi="Arial"/>
              <w:b/>
              <w:color w:val="21A699"/>
              <w:sz w:val="28"/>
            </w:rPr>
          </w:pPr>
          <w:r w:rsidRPr="000C43EE">
            <w:rPr>
              <w:rStyle w:val="Heading3Char"/>
            </w:rPr>
            <w:t>Contents</w:t>
          </w:r>
          <w:r>
            <w:fldChar w:fldCharType="begin"/>
          </w:r>
          <w:r>
            <w:instrText xml:space="preserve"> TOC \o "1-3" \h \z \u </w:instrText>
          </w:r>
          <w:r>
            <w:fldChar w:fldCharType="separate"/>
          </w:r>
        </w:p>
        <w:p w14:paraId="42482C09" w14:textId="245E52D1" w:rsidR="002912B3" w:rsidRDefault="000610D1">
          <w:pPr>
            <w:pStyle w:val="TOC2"/>
            <w:tabs>
              <w:tab w:val="right" w:leader="dot" w:pos="10194"/>
            </w:tabs>
            <w:rPr>
              <w:rFonts w:asciiTheme="minorHAnsi" w:eastAsiaTheme="minorEastAsia" w:hAnsiTheme="minorHAnsi" w:cstheme="minorBidi"/>
              <w:noProof/>
              <w:sz w:val="22"/>
            </w:rPr>
          </w:pPr>
          <w:hyperlink w:anchor="_Toc150177056" w:history="1">
            <w:r w:rsidR="002912B3" w:rsidRPr="00F0220E">
              <w:rPr>
                <w:rStyle w:val="Hyperlink"/>
                <w:rFonts w:eastAsiaTheme="majorEastAsia"/>
                <w:noProof/>
              </w:rPr>
              <w:t>Policy</w:t>
            </w:r>
            <w:r w:rsidR="002912B3">
              <w:rPr>
                <w:noProof/>
                <w:webHidden/>
              </w:rPr>
              <w:tab/>
            </w:r>
            <w:r w:rsidR="002912B3">
              <w:rPr>
                <w:noProof/>
                <w:webHidden/>
              </w:rPr>
              <w:fldChar w:fldCharType="begin"/>
            </w:r>
            <w:r w:rsidR="002912B3">
              <w:rPr>
                <w:noProof/>
                <w:webHidden/>
              </w:rPr>
              <w:instrText xml:space="preserve"> PAGEREF _Toc150177056 \h </w:instrText>
            </w:r>
            <w:r w:rsidR="002912B3">
              <w:rPr>
                <w:noProof/>
                <w:webHidden/>
              </w:rPr>
            </w:r>
            <w:r w:rsidR="002912B3">
              <w:rPr>
                <w:noProof/>
                <w:webHidden/>
              </w:rPr>
              <w:fldChar w:fldCharType="separate"/>
            </w:r>
            <w:r w:rsidR="002912B3">
              <w:rPr>
                <w:noProof/>
                <w:webHidden/>
              </w:rPr>
              <w:t>1</w:t>
            </w:r>
            <w:r w:rsidR="002912B3">
              <w:rPr>
                <w:noProof/>
                <w:webHidden/>
              </w:rPr>
              <w:fldChar w:fldCharType="end"/>
            </w:r>
          </w:hyperlink>
        </w:p>
        <w:p w14:paraId="65CE33FA" w14:textId="39418B93" w:rsidR="002912B3" w:rsidRDefault="000610D1">
          <w:pPr>
            <w:pStyle w:val="TOC3"/>
            <w:tabs>
              <w:tab w:val="right" w:leader="dot" w:pos="10194"/>
            </w:tabs>
            <w:rPr>
              <w:rFonts w:asciiTheme="minorHAnsi" w:eastAsiaTheme="minorEastAsia" w:hAnsiTheme="minorHAnsi" w:cstheme="minorBidi"/>
              <w:noProof/>
              <w:sz w:val="22"/>
            </w:rPr>
          </w:pPr>
          <w:hyperlink w:anchor="_Toc150177057" w:history="1">
            <w:r w:rsidR="002912B3" w:rsidRPr="00F0220E">
              <w:rPr>
                <w:rStyle w:val="Hyperlink"/>
                <w:rFonts w:eastAsiaTheme="majorEastAsia"/>
                <w:noProof/>
              </w:rPr>
              <w:t>General Principles</w:t>
            </w:r>
            <w:r w:rsidR="002912B3">
              <w:rPr>
                <w:noProof/>
                <w:webHidden/>
              </w:rPr>
              <w:tab/>
            </w:r>
            <w:r w:rsidR="002912B3">
              <w:rPr>
                <w:noProof/>
                <w:webHidden/>
              </w:rPr>
              <w:fldChar w:fldCharType="begin"/>
            </w:r>
            <w:r w:rsidR="002912B3">
              <w:rPr>
                <w:noProof/>
                <w:webHidden/>
              </w:rPr>
              <w:instrText xml:space="preserve"> PAGEREF _Toc150177057 \h </w:instrText>
            </w:r>
            <w:r w:rsidR="002912B3">
              <w:rPr>
                <w:noProof/>
                <w:webHidden/>
              </w:rPr>
            </w:r>
            <w:r w:rsidR="002912B3">
              <w:rPr>
                <w:noProof/>
                <w:webHidden/>
              </w:rPr>
              <w:fldChar w:fldCharType="separate"/>
            </w:r>
            <w:r w:rsidR="002912B3">
              <w:rPr>
                <w:noProof/>
                <w:webHidden/>
              </w:rPr>
              <w:t>1</w:t>
            </w:r>
            <w:r w:rsidR="002912B3">
              <w:rPr>
                <w:noProof/>
                <w:webHidden/>
              </w:rPr>
              <w:fldChar w:fldCharType="end"/>
            </w:r>
          </w:hyperlink>
        </w:p>
        <w:p w14:paraId="32ACEE70" w14:textId="374E3190" w:rsidR="002912B3" w:rsidRDefault="000610D1">
          <w:pPr>
            <w:pStyle w:val="TOC3"/>
            <w:tabs>
              <w:tab w:val="right" w:leader="dot" w:pos="10194"/>
            </w:tabs>
            <w:rPr>
              <w:rFonts w:asciiTheme="minorHAnsi" w:eastAsiaTheme="minorEastAsia" w:hAnsiTheme="minorHAnsi" w:cstheme="minorBidi"/>
              <w:noProof/>
              <w:sz w:val="22"/>
            </w:rPr>
          </w:pPr>
          <w:hyperlink w:anchor="_Toc150177058" w:history="1">
            <w:r w:rsidR="002912B3" w:rsidRPr="00F0220E">
              <w:rPr>
                <w:rStyle w:val="Hyperlink"/>
                <w:rFonts w:eastAsiaTheme="majorEastAsia"/>
                <w:noProof/>
              </w:rPr>
              <w:t>Service User Request for Confidentiality</w:t>
            </w:r>
            <w:r w:rsidR="002912B3">
              <w:rPr>
                <w:noProof/>
                <w:webHidden/>
              </w:rPr>
              <w:tab/>
            </w:r>
            <w:r w:rsidR="002912B3">
              <w:rPr>
                <w:noProof/>
                <w:webHidden/>
              </w:rPr>
              <w:fldChar w:fldCharType="begin"/>
            </w:r>
            <w:r w:rsidR="002912B3">
              <w:rPr>
                <w:noProof/>
                <w:webHidden/>
              </w:rPr>
              <w:instrText xml:space="preserve"> PAGEREF _Toc150177058 \h </w:instrText>
            </w:r>
            <w:r w:rsidR="002912B3">
              <w:rPr>
                <w:noProof/>
                <w:webHidden/>
              </w:rPr>
            </w:r>
            <w:r w:rsidR="002912B3">
              <w:rPr>
                <w:noProof/>
                <w:webHidden/>
              </w:rPr>
              <w:fldChar w:fldCharType="separate"/>
            </w:r>
            <w:r w:rsidR="002912B3">
              <w:rPr>
                <w:noProof/>
                <w:webHidden/>
              </w:rPr>
              <w:t>1</w:t>
            </w:r>
            <w:r w:rsidR="002912B3">
              <w:rPr>
                <w:noProof/>
                <w:webHidden/>
              </w:rPr>
              <w:fldChar w:fldCharType="end"/>
            </w:r>
          </w:hyperlink>
        </w:p>
        <w:p w14:paraId="2F4418C1" w14:textId="3E70C286" w:rsidR="002912B3" w:rsidRDefault="000610D1">
          <w:pPr>
            <w:pStyle w:val="TOC3"/>
            <w:tabs>
              <w:tab w:val="right" w:leader="dot" w:pos="10194"/>
            </w:tabs>
            <w:rPr>
              <w:rFonts w:asciiTheme="minorHAnsi" w:eastAsiaTheme="minorEastAsia" w:hAnsiTheme="minorHAnsi" w:cstheme="minorBidi"/>
              <w:noProof/>
              <w:sz w:val="22"/>
            </w:rPr>
          </w:pPr>
          <w:hyperlink w:anchor="_Toc150177059" w:history="1">
            <w:r w:rsidR="002912B3" w:rsidRPr="00F0220E">
              <w:rPr>
                <w:rStyle w:val="Hyperlink"/>
                <w:rFonts w:eastAsiaTheme="majorEastAsia"/>
                <w:noProof/>
              </w:rPr>
              <w:t>Access to Staff Files</w:t>
            </w:r>
            <w:r w:rsidR="002912B3">
              <w:rPr>
                <w:noProof/>
                <w:webHidden/>
              </w:rPr>
              <w:tab/>
            </w:r>
            <w:r w:rsidR="002912B3">
              <w:rPr>
                <w:noProof/>
                <w:webHidden/>
              </w:rPr>
              <w:fldChar w:fldCharType="begin"/>
            </w:r>
            <w:r w:rsidR="002912B3">
              <w:rPr>
                <w:noProof/>
                <w:webHidden/>
              </w:rPr>
              <w:instrText xml:space="preserve"> PAGEREF _Toc150177059 \h </w:instrText>
            </w:r>
            <w:r w:rsidR="002912B3">
              <w:rPr>
                <w:noProof/>
                <w:webHidden/>
              </w:rPr>
            </w:r>
            <w:r w:rsidR="002912B3">
              <w:rPr>
                <w:noProof/>
                <w:webHidden/>
              </w:rPr>
              <w:fldChar w:fldCharType="separate"/>
            </w:r>
            <w:r w:rsidR="002912B3">
              <w:rPr>
                <w:noProof/>
                <w:webHidden/>
              </w:rPr>
              <w:t>2</w:t>
            </w:r>
            <w:r w:rsidR="002912B3">
              <w:rPr>
                <w:noProof/>
                <w:webHidden/>
              </w:rPr>
              <w:fldChar w:fldCharType="end"/>
            </w:r>
          </w:hyperlink>
        </w:p>
        <w:p w14:paraId="62766453" w14:textId="6BB55669" w:rsidR="002912B3" w:rsidRDefault="000610D1">
          <w:pPr>
            <w:pStyle w:val="TOC3"/>
            <w:tabs>
              <w:tab w:val="right" w:leader="dot" w:pos="10194"/>
            </w:tabs>
            <w:rPr>
              <w:rFonts w:asciiTheme="minorHAnsi" w:eastAsiaTheme="minorEastAsia" w:hAnsiTheme="minorHAnsi" w:cstheme="minorBidi"/>
              <w:noProof/>
              <w:sz w:val="22"/>
            </w:rPr>
          </w:pPr>
          <w:hyperlink w:anchor="_Toc150177060" w:history="1">
            <w:r w:rsidR="002912B3" w:rsidRPr="00F0220E">
              <w:rPr>
                <w:rStyle w:val="Hyperlink"/>
                <w:rFonts w:eastAsiaTheme="majorEastAsia"/>
                <w:noProof/>
              </w:rPr>
              <w:t>Breaches of Confidentiality</w:t>
            </w:r>
            <w:r w:rsidR="002912B3">
              <w:rPr>
                <w:noProof/>
                <w:webHidden/>
              </w:rPr>
              <w:tab/>
            </w:r>
            <w:r w:rsidR="002912B3">
              <w:rPr>
                <w:noProof/>
                <w:webHidden/>
              </w:rPr>
              <w:fldChar w:fldCharType="begin"/>
            </w:r>
            <w:r w:rsidR="002912B3">
              <w:rPr>
                <w:noProof/>
                <w:webHidden/>
              </w:rPr>
              <w:instrText xml:space="preserve"> PAGEREF _Toc150177060 \h </w:instrText>
            </w:r>
            <w:r w:rsidR="002912B3">
              <w:rPr>
                <w:noProof/>
                <w:webHidden/>
              </w:rPr>
            </w:r>
            <w:r w:rsidR="002912B3">
              <w:rPr>
                <w:noProof/>
                <w:webHidden/>
              </w:rPr>
              <w:fldChar w:fldCharType="separate"/>
            </w:r>
            <w:r w:rsidR="002912B3">
              <w:rPr>
                <w:noProof/>
                <w:webHidden/>
              </w:rPr>
              <w:t>2</w:t>
            </w:r>
            <w:r w:rsidR="002912B3">
              <w:rPr>
                <w:noProof/>
                <w:webHidden/>
              </w:rPr>
              <w:fldChar w:fldCharType="end"/>
            </w:r>
          </w:hyperlink>
        </w:p>
        <w:p w14:paraId="72F3B78A" w14:textId="78C9751E" w:rsidR="002912B3" w:rsidRDefault="000610D1">
          <w:pPr>
            <w:pStyle w:val="TOC3"/>
            <w:tabs>
              <w:tab w:val="right" w:leader="dot" w:pos="10194"/>
            </w:tabs>
            <w:rPr>
              <w:rFonts w:asciiTheme="minorHAnsi" w:eastAsiaTheme="minorEastAsia" w:hAnsiTheme="minorHAnsi" w:cstheme="minorBidi"/>
              <w:noProof/>
              <w:sz w:val="22"/>
            </w:rPr>
          </w:pPr>
          <w:hyperlink w:anchor="_Toc150177061" w:history="1">
            <w:r w:rsidR="002912B3" w:rsidRPr="00F0220E">
              <w:rPr>
                <w:rStyle w:val="Hyperlink"/>
                <w:rFonts w:eastAsiaTheme="majorEastAsia"/>
                <w:noProof/>
              </w:rPr>
              <w:t>Training</w:t>
            </w:r>
            <w:r w:rsidR="002912B3">
              <w:rPr>
                <w:noProof/>
                <w:webHidden/>
              </w:rPr>
              <w:tab/>
            </w:r>
            <w:r w:rsidR="002912B3">
              <w:rPr>
                <w:noProof/>
                <w:webHidden/>
              </w:rPr>
              <w:fldChar w:fldCharType="begin"/>
            </w:r>
            <w:r w:rsidR="002912B3">
              <w:rPr>
                <w:noProof/>
                <w:webHidden/>
              </w:rPr>
              <w:instrText xml:space="preserve"> PAGEREF _Toc150177061 \h </w:instrText>
            </w:r>
            <w:r w:rsidR="002912B3">
              <w:rPr>
                <w:noProof/>
                <w:webHidden/>
              </w:rPr>
            </w:r>
            <w:r w:rsidR="002912B3">
              <w:rPr>
                <w:noProof/>
                <w:webHidden/>
              </w:rPr>
              <w:fldChar w:fldCharType="separate"/>
            </w:r>
            <w:r w:rsidR="002912B3">
              <w:rPr>
                <w:noProof/>
                <w:webHidden/>
              </w:rPr>
              <w:t>2</w:t>
            </w:r>
            <w:r w:rsidR="002912B3">
              <w:rPr>
                <w:noProof/>
                <w:webHidden/>
              </w:rPr>
              <w:fldChar w:fldCharType="end"/>
            </w:r>
          </w:hyperlink>
        </w:p>
        <w:p w14:paraId="0AD51ED9" w14:textId="31366FA2" w:rsidR="002912B3" w:rsidRDefault="000610D1">
          <w:pPr>
            <w:pStyle w:val="TOC3"/>
            <w:tabs>
              <w:tab w:val="right" w:leader="dot" w:pos="10194"/>
            </w:tabs>
            <w:rPr>
              <w:rFonts w:asciiTheme="minorHAnsi" w:eastAsiaTheme="minorEastAsia" w:hAnsiTheme="minorHAnsi" w:cstheme="minorBidi"/>
              <w:noProof/>
              <w:sz w:val="22"/>
            </w:rPr>
          </w:pPr>
          <w:hyperlink w:anchor="_Toc150177062" w:history="1">
            <w:r w:rsidR="002912B3" w:rsidRPr="00F0220E">
              <w:rPr>
                <w:rStyle w:val="Hyperlink"/>
                <w:rFonts w:eastAsiaTheme="majorEastAsia"/>
                <w:noProof/>
              </w:rPr>
              <w:t>Appendix</w:t>
            </w:r>
            <w:r w:rsidR="002912B3">
              <w:rPr>
                <w:noProof/>
                <w:webHidden/>
              </w:rPr>
              <w:tab/>
            </w:r>
            <w:r w:rsidR="002912B3">
              <w:rPr>
                <w:noProof/>
                <w:webHidden/>
              </w:rPr>
              <w:fldChar w:fldCharType="begin"/>
            </w:r>
            <w:r w:rsidR="002912B3">
              <w:rPr>
                <w:noProof/>
                <w:webHidden/>
              </w:rPr>
              <w:instrText xml:space="preserve"> PAGEREF _Toc150177062 \h </w:instrText>
            </w:r>
            <w:r w:rsidR="002912B3">
              <w:rPr>
                <w:noProof/>
                <w:webHidden/>
              </w:rPr>
            </w:r>
            <w:r w:rsidR="002912B3">
              <w:rPr>
                <w:noProof/>
                <w:webHidden/>
              </w:rPr>
              <w:fldChar w:fldCharType="separate"/>
            </w:r>
            <w:r w:rsidR="002912B3">
              <w:rPr>
                <w:noProof/>
                <w:webHidden/>
              </w:rPr>
              <w:t>2</w:t>
            </w:r>
            <w:r w:rsidR="002912B3">
              <w:rPr>
                <w:noProof/>
                <w:webHidden/>
              </w:rPr>
              <w:fldChar w:fldCharType="end"/>
            </w:r>
          </w:hyperlink>
        </w:p>
        <w:p w14:paraId="3069DE17" w14:textId="2D0D2C19" w:rsidR="00FE2321" w:rsidRDefault="000C43EE" w:rsidP="00FE2321">
          <w:r>
            <w:rPr>
              <w:b/>
              <w:bCs/>
              <w:noProof/>
            </w:rPr>
            <w:fldChar w:fldCharType="end"/>
          </w:r>
        </w:p>
      </w:sdtContent>
    </w:sdt>
    <w:p w14:paraId="2D931B1B" w14:textId="1F701E62" w:rsidR="00FE2321" w:rsidRPr="00FE2321" w:rsidRDefault="00FE2321" w:rsidP="00FE2321">
      <w:pPr>
        <w:pStyle w:val="Heading2"/>
        <w:jc w:val="center"/>
      </w:pPr>
      <w:bookmarkStart w:id="7" w:name="_Toc150177056"/>
      <w:r>
        <w:t>Policy</w:t>
      </w:r>
      <w:bookmarkEnd w:id="7"/>
    </w:p>
    <w:p w14:paraId="3B8D814B" w14:textId="7DAF39B8" w:rsidR="00FE2321" w:rsidRPr="005E2B12" w:rsidRDefault="00062C1F" w:rsidP="00062C1F">
      <w:pPr>
        <w:jc w:val="center"/>
        <w:rPr>
          <w:color w:val="000000"/>
          <w:sz w:val="27"/>
          <w:szCs w:val="27"/>
        </w:rPr>
      </w:pPr>
      <w:r w:rsidRPr="00E40EBF">
        <w:rPr>
          <w:color w:val="000000"/>
          <w:szCs w:val="24"/>
        </w:rPr>
        <w:t xml:space="preserve">To ensure </w:t>
      </w:r>
      <w:r w:rsidR="005E2B12" w:rsidRPr="00E40EBF">
        <w:rPr>
          <w:szCs w:val="24"/>
        </w:rPr>
        <w:t>staff maintain appropriate levels of confidentiality</w:t>
      </w:r>
      <w:r w:rsidR="005E2B12" w:rsidRPr="005E2B12">
        <w:rPr>
          <w:sz w:val="27"/>
          <w:szCs w:val="27"/>
        </w:rPr>
        <w:t>.</w:t>
      </w:r>
    </w:p>
    <w:p w14:paraId="44903429" w14:textId="1887CD22" w:rsidR="00062C1F" w:rsidRDefault="00062C1F" w:rsidP="00062C1F">
      <w:pPr>
        <w:jc w:val="center"/>
      </w:pPr>
    </w:p>
    <w:p w14:paraId="2CD53EAF" w14:textId="77777777" w:rsidR="002912B3" w:rsidRPr="00FE2321" w:rsidRDefault="002912B3" w:rsidP="00062C1F">
      <w:pPr>
        <w:jc w:val="center"/>
      </w:pPr>
    </w:p>
    <w:p w14:paraId="12830437" w14:textId="77777777" w:rsidR="005E2B12" w:rsidRPr="005E2B12" w:rsidRDefault="005E2B12" w:rsidP="005E2B12">
      <w:pPr>
        <w:pStyle w:val="Heading3"/>
      </w:pPr>
      <w:bookmarkStart w:id="8" w:name="_Toc150177057"/>
      <w:r w:rsidRPr="005E2B12">
        <w:t>General Principles</w:t>
      </w:r>
      <w:bookmarkEnd w:id="8"/>
    </w:p>
    <w:p w14:paraId="6719CA26" w14:textId="761C4AA6" w:rsidR="005E2B12" w:rsidRDefault="005E2B12" w:rsidP="005E2B12">
      <w:pPr>
        <w:pStyle w:val="ListParagraph"/>
        <w:numPr>
          <w:ilvl w:val="0"/>
          <w:numId w:val="30"/>
        </w:numPr>
        <w:rPr>
          <w:color w:val="000000"/>
          <w:szCs w:val="24"/>
        </w:rPr>
      </w:pPr>
      <w:r w:rsidRPr="005E2B12">
        <w:rPr>
          <w:color w:val="000000"/>
          <w:szCs w:val="24"/>
        </w:rPr>
        <w:t xml:space="preserve">Staff must not share or discuss any information outside of appropriate work-related forums, meetings, procedures or recording systems. </w:t>
      </w:r>
    </w:p>
    <w:p w14:paraId="3668B8FE" w14:textId="77777777" w:rsidR="005E2B12" w:rsidRPr="005E2B12" w:rsidRDefault="005E2B12" w:rsidP="005E2B12">
      <w:pPr>
        <w:pStyle w:val="ListParagraph"/>
        <w:ind w:left="360"/>
        <w:rPr>
          <w:color w:val="000000"/>
          <w:szCs w:val="24"/>
        </w:rPr>
      </w:pPr>
    </w:p>
    <w:p w14:paraId="30208FB7" w14:textId="137ED1B8" w:rsidR="005E2B12" w:rsidRDefault="005E2B12" w:rsidP="005E2B12">
      <w:pPr>
        <w:pStyle w:val="ListParagraph"/>
        <w:numPr>
          <w:ilvl w:val="0"/>
          <w:numId w:val="30"/>
        </w:numPr>
        <w:rPr>
          <w:color w:val="000000"/>
          <w:szCs w:val="24"/>
        </w:rPr>
      </w:pPr>
      <w:r w:rsidRPr="005E2B12">
        <w:rPr>
          <w:color w:val="000000"/>
          <w:szCs w:val="24"/>
        </w:rPr>
        <w:t xml:space="preserve">Where it is necessary to share information, this should be done with the consent of the individual or, where this is not achievable, it can be clearly demonstrated to be in the best interest of the individual and the reasoning must be recorded. This includes both written and verbal information. </w:t>
      </w:r>
    </w:p>
    <w:p w14:paraId="5353878F" w14:textId="77777777" w:rsidR="005E2B12" w:rsidRPr="005E2B12" w:rsidRDefault="005E2B12" w:rsidP="005E2B12">
      <w:pPr>
        <w:pStyle w:val="ListParagraph"/>
        <w:rPr>
          <w:color w:val="000000"/>
          <w:szCs w:val="24"/>
        </w:rPr>
      </w:pPr>
    </w:p>
    <w:p w14:paraId="151490DC" w14:textId="28AD6DB8" w:rsidR="005E2B12" w:rsidRPr="002912B3" w:rsidRDefault="005E2B12" w:rsidP="00D60707">
      <w:pPr>
        <w:pStyle w:val="ListParagraph"/>
        <w:numPr>
          <w:ilvl w:val="0"/>
          <w:numId w:val="30"/>
        </w:numPr>
        <w:rPr>
          <w:color w:val="000000"/>
          <w:szCs w:val="24"/>
        </w:rPr>
      </w:pPr>
      <w:r w:rsidRPr="005E2B12">
        <w:rPr>
          <w:color w:val="000000"/>
          <w:szCs w:val="24"/>
        </w:rPr>
        <w:t>Where it is necessary to hold a work discussion staff must always be aware of their surroundings e.g., mobile phone and open plan office.</w:t>
      </w:r>
    </w:p>
    <w:p w14:paraId="28B6304B" w14:textId="77777777" w:rsidR="002912B3" w:rsidRPr="00D60707" w:rsidRDefault="002912B3" w:rsidP="00D60707">
      <w:pPr>
        <w:rPr>
          <w:color w:val="000000"/>
          <w:szCs w:val="24"/>
        </w:rPr>
      </w:pPr>
    </w:p>
    <w:p w14:paraId="4F64F134" w14:textId="6E864176" w:rsidR="005E2B12" w:rsidRPr="005E2B12" w:rsidRDefault="005E2B12" w:rsidP="005E2B12">
      <w:pPr>
        <w:pStyle w:val="Heading3"/>
      </w:pPr>
      <w:bookmarkStart w:id="9" w:name="_Toc150177058"/>
      <w:r w:rsidRPr="005E2B12">
        <w:t>Service User Request for Confidentiality</w:t>
      </w:r>
      <w:bookmarkEnd w:id="9"/>
    </w:p>
    <w:p w14:paraId="08069A8C" w14:textId="37F16592" w:rsidR="005E2B12" w:rsidRPr="002C6A6C" w:rsidRDefault="005E2B12" w:rsidP="002C6A6C">
      <w:r>
        <w:t>An individual requesting absolute confidentiality when disclosing information or discussing specific issues should be informed that this cannot be guaranteed. If the content of the discussion includes any allegation or suggestion of abuse / mistreatment it will be necessary to share this information with senior staff members, health care professionals and the safeguarding team. Where a service user is a relative of a member of staff the staff member must inform the line manager. Electronic information such as care planning can be locked down at the request of the service user / family if required. Access to confidential information is restricted to those council staff who for the purpose of their role and responsibilities and ensuring it is proportionate to their job role will be given the correct level of access. This can however be locked down where a manager or senior manager request it.</w:t>
      </w:r>
    </w:p>
    <w:p w14:paraId="37354029" w14:textId="77ECC45E" w:rsidR="00D60707" w:rsidRDefault="00D60707">
      <w:pPr>
        <w:spacing w:after="0"/>
      </w:pPr>
      <w:r>
        <w:br w:type="page"/>
      </w:r>
    </w:p>
    <w:p w14:paraId="762076E2" w14:textId="77777777" w:rsidR="002912B3" w:rsidRDefault="005E2B12" w:rsidP="005E2B12">
      <w:r w:rsidRPr="005E2B12">
        <w:rPr>
          <w:rFonts w:eastAsiaTheme="majorEastAsia" w:cstheme="majorBidi"/>
          <w:b/>
          <w:color w:val="21A699"/>
          <w:sz w:val="28"/>
        </w:rPr>
        <w:t>Staff or Service User Files</w:t>
      </w:r>
    </w:p>
    <w:p w14:paraId="72589F24" w14:textId="17B0D678" w:rsidR="005E2B12" w:rsidRDefault="005E2B12" w:rsidP="005E2B12">
      <w:r>
        <w:t>The content of staff or service user files should be considered as confidential and appropriate steps taken within individual provider units to maintain effective security. When not in use staff or service user files must be secured in a lockable facility and access restricted to appropriate persons.</w:t>
      </w:r>
    </w:p>
    <w:p w14:paraId="30BD883C" w14:textId="0CC7A1EE" w:rsidR="005E2B12" w:rsidRDefault="005E2B12" w:rsidP="005E2B12">
      <w:r>
        <w:t>Where information is kept in a service users home the service user will take responsibility for this. This must be discussed with the service user prior to the admission process.</w:t>
      </w:r>
    </w:p>
    <w:p w14:paraId="1A145428" w14:textId="77777777" w:rsidR="002912B3" w:rsidRDefault="002912B3" w:rsidP="002C6A6C"/>
    <w:p w14:paraId="27305F5E" w14:textId="16057B06" w:rsidR="00340ECB" w:rsidRDefault="005E2B12" w:rsidP="00340ECB">
      <w:pPr>
        <w:rPr>
          <w:rFonts w:eastAsiaTheme="majorEastAsia" w:cstheme="majorBidi"/>
          <w:b/>
          <w:color w:val="21A699"/>
          <w:sz w:val="28"/>
        </w:rPr>
      </w:pPr>
      <w:r w:rsidRPr="005E2B12">
        <w:rPr>
          <w:rFonts w:eastAsiaTheme="majorEastAsia" w:cstheme="majorBidi"/>
          <w:b/>
          <w:color w:val="21A699"/>
          <w:sz w:val="28"/>
        </w:rPr>
        <w:t>Access to Service User Files</w:t>
      </w:r>
    </w:p>
    <w:p w14:paraId="5872632C" w14:textId="77777777" w:rsidR="005E2B12" w:rsidRDefault="005E2B12" w:rsidP="00340ECB">
      <w:r w:rsidRPr="005E2B12">
        <w:t xml:space="preserve">Access to service user files should be restricted to the following: </w:t>
      </w:r>
    </w:p>
    <w:p w14:paraId="1425D369" w14:textId="5E891F74" w:rsidR="005E2B12" w:rsidRDefault="005E2B12" w:rsidP="005E2B12">
      <w:pPr>
        <w:pStyle w:val="ListParagraph"/>
        <w:numPr>
          <w:ilvl w:val="0"/>
          <w:numId w:val="31"/>
        </w:numPr>
      </w:pPr>
      <w:r w:rsidRPr="005E2B12">
        <w:t xml:space="preserve">Service user who will, where necessary, be provided with support to interpret the file / Electronic information content appropriately. </w:t>
      </w:r>
    </w:p>
    <w:p w14:paraId="7CBFF965" w14:textId="21C52A18" w:rsidR="005E2B12" w:rsidRDefault="005E2B12" w:rsidP="005E2B12">
      <w:pPr>
        <w:pStyle w:val="ListParagraph"/>
        <w:numPr>
          <w:ilvl w:val="0"/>
          <w:numId w:val="31"/>
        </w:numPr>
      </w:pPr>
      <w:r w:rsidRPr="005E2B12">
        <w:t xml:space="preserve">Service user representative, e.g., an individual whom the service user recognises as advocating on their behalf. </w:t>
      </w:r>
    </w:p>
    <w:p w14:paraId="6B4D5790" w14:textId="6AC1B8FE" w:rsidR="005E2B12" w:rsidRPr="00340ECB" w:rsidRDefault="005E2B12" w:rsidP="005E2B12">
      <w:pPr>
        <w:pStyle w:val="ListParagraph"/>
        <w:numPr>
          <w:ilvl w:val="0"/>
          <w:numId w:val="31"/>
        </w:numPr>
      </w:pPr>
      <w:r w:rsidRPr="005E2B12">
        <w:t>Council staff members and allocated health care professionals requiring access for reference information gathering or recording purposes.</w:t>
      </w:r>
    </w:p>
    <w:p w14:paraId="54458231" w14:textId="77777777" w:rsidR="002912B3" w:rsidRDefault="002912B3" w:rsidP="00D60707"/>
    <w:p w14:paraId="75B40DA6" w14:textId="0C7B5F22" w:rsidR="00D60707" w:rsidRPr="00D60707" w:rsidRDefault="00D60707" w:rsidP="00D60707">
      <w:pPr>
        <w:pStyle w:val="Heading3"/>
      </w:pPr>
      <w:bookmarkStart w:id="10" w:name="_Toc150177059"/>
      <w:r w:rsidRPr="00D60707">
        <w:t>Access to Staff Files</w:t>
      </w:r>
      <w:bookmarkEnd w:id="10"/>
    </w:p>
    <w:p w14:paraId="38954CE8" w14:textId="567DAC45" w:rsidR="00D60707" w:rsidRDefault="00D60707" w:rsidP="00D60707">
      <w:r>
        <w:t xml:space="preserve">Access to staff files should be restricted to senior / administration staff in line with their duties. Staff files may be accessed for audit purposes or as part of other Council procedures. </w:t>
      </w:r>
    </w:p>
    <w:p w14:paraId="6BE0B224" w14:textId="77777777" w:rsidR="002912B3" w:rsidRDefault="002912B3" w:rsidP="00D60707"/>
    <w:p w14:paraId="64DF032F" w14:textId="77777777" w:rsidR="00D60707" w:rsidRDefault="00D60707" w:rsidP="00D60707">
      <w:pPr>
        <w:pStyle w:val="Heading3"/>
      </w:pPr>
      <w:bookmarkStart w:id="11" w:name="_Toc150177060"/>
      <w:r>
        <w:t>Breaches of Confidentiality</w:t>
      </w:r>
      <w:bookmarkEnd w:id="11"/>
      <w:r>
        <w:t xml:space="preserve"> </w:t>
      </w:r>
    </w:p>
    <w:p w14:paraId="7F23FD0A" w14:textId="77777777" w:rsidR="00D60707" w:rsidRDefault="00D60707" w:rsidP="00D60707">
      <w:r>
        <w:t xml:space="preserve">Staff should be aware that any breach in confidentiality may be considered an act of gross misconduct, potentially resulting in disciplinary procedures being implemented. </w:t>
      </w:r>
    </w:p>
    <w:p w14:paraId="69970C9F" w14:textId="77777777" w:rsidR="002912B3" w:rsidRDefault="002912B3" w:rsidP="00D60707"/>
    <w:p w14:paraId="41BA638F" w14:textId="77777777" w:rsidR="00D60707" w:rsidRDefault="00D60707" w:rsidP="00D60707">
      <w:pPr>
        <w:pStyle w:val="Heading3"/>
      </w:pPr>
      <w:bookmarkStart w:id="12" w:name="_Toc150177061"/>
      <w:r>
        <w:t>Training</w:t>
      </w:r>
      <w:bookmarkEnd w:id="12"/>
      <w:r>
        <w:t xml:space="preserve"> </w:t>
      </w:r>
    </w:p>
    <w:p w14:paraId="20EDD92D" w14:textId="44028E3D" w:rsidR="00D60707" w:rsidRDefault="00D60707" w:rsidP="00D60707">
      <w:pPr>
        <w:pStyle w:val="ListParagraph"/>
        <w:numPr>
          <w:ilvl w:val="0"/>
          <w:numId w:val="35"/>
        </w:numPr>
      </w:pPr>
      <w:r>
        <w:t xml:space="preserve">It is the belief of Care Services training facilitators that the use of teaching methods which include the discussion of actual workplace practice and procedures can result in improved learning outcomes. These discussions should be treated as confidential and should not be discussed outside the training arena. </w:t>
      </w:r>
    </w:p>
    <w:p w14:paraId="31179AF8" w14:textId="77777777" w:rsidR="00D60707" w:rsidRDefault="00D60707" w:rsidP="00D60707">
      <w:pPr>
        <w:pStyle w:val="ListParagraph"/>
        <w:ind w:left="360"/>
      </w:pPr>
    </w:p>
    <w:p w14:paraId="335DABA1" w14:textId="74680E78" w:rsidR="00D60707" w:rsidRDefault="00D60707" w:rsidP="00D60707">
      <w:pPr>
        <w:pStyle w:val="ListParagraph"/>
        <w:numPr>
          <w:ilvl w:val="0"/>
          <w:numId w:val="35"/>
        </w:numPr>
      </w:pPr>
      <w:r>
        <w:t xml:space="preserve">Care Services training facilitators are committed to the reporting of inappropriate practice (including that of inappropriate attitudes and values), which may be evidenced </w:t>
      </w:r>
      <w:proofErr w:type="gramStart"/>
      <w:r>
        <w:t>as a result of</w:t>
      </w:r>
      <w:proofErr w:type="gramEnd"/>
      <w:r>
        <w:t xml:space="preserve">: </w:t>
      </w:r>
    </w:p>
    <w:p w14:paraId="04BC4536" w14:textId="5E622174" w:rsidR="00D60707" w:rsidRDefault="00D60707" w:rsidP="00D60707">
      <w:pPr>
        <w:pStyle w:val="ListParagraph"/>
        <w:numPr>
          <w:ilvl w:val="0"/>
          <w:numId w:val="33"/>
        </w:numPr>
      </w:pPr>
      <w:r>
        <w:t xml:space="preserve">Disclosure by service users or employees </w:t>
      </w:r>
    </w:p>
    <w:p w14:paraId="377DEDAC" w14:textId="156D735C" w:rsidR="00D60707" w:rsidRDefault="00D60707" w:rsidP="00D60707">
      <w:pPr>
        <w:pStyle w:val="ListParagraph"/>
        <w:numPr>
          <w:ilvl w:val="0"/>
          <w:numId w:val="33"/>
        </w:numPr>
      </w:pPr>
      <w:r>
        <w:t xml:space="preserve">Training facilitator’s observation </w:t>
      </w:r>
    </w:p>
    <w:p w14:paraId="0CD6E393" w14:textId="2DDAD136" w:rsidR="00D60707" w:rsidRDefault="00D60707" w:rsidP="00D60707">
      <w:pPr>
        <w:pStyle w:val="ListParagraph"/>
        <w:numPr>
          <w:ilvl w:val="0"/>
          <w:numId w:val="33"/>
        </w:numPr>
      </w:pPr>
      <w:r>
        <w:t xml:space="preserve">Information to be reported will be communicated through the appropriate line management route and the training team in accordance with appropriate policy and procedure where </w:t>
      </w:r>
      <w:proofErr w:type="gramStart"/>
      <w:r>
        <w:t>available</w:t>
      </w:r>
      <w:proofErr w:type="gramEnd"/>
      <w:r>
        <w:t xml:space="preserve"> </w:t>
      </w:r>
    </w:p>
    <w:p w14:paraId="3E98DAB6" w14:textId="77777777" w:rsidR="00D60707" w:rsidRDefault="00D60707" w:rsidP="00D60707">
      <w:pPr>
        <w:pStyle w:val="ListParagraph"/>
      </w:pPr>
    </w:p>
    <w:p w14:paraId="73FD5318" w14:textId="3E2BB888" w:rsidR="00D60707" w:rsidRDefault="00D60707" w:rsidP="00D60707">
      <w:r>
        <w:t xml:space="preserve">For further information see </w:t>
      </w:r>
      <w:r w:rsidR="002912B3">
        <w:t>Appendix listed in this policy.</w:t>
      </w:r>
    </w:p>
    <w:p w14:paraId="7F8B3725" w14:textId="4501EAFE" w:rsidR="00D5145C" w:rsidRDefault="00D5145C" w:rsidP="00D5145C">
      <w:pPr>
        <w:pStyle w:val="Heading3"/>
      </w:pPr>
    </w:p>
    <w:p w14:paraId="75A0E0CC" w14:textId="257068F7" w:rsidR="00D5145C" w:rsidRDefault="00D5145C" w:rsidP="00D5145C">
      <w:pPr>
        <w:pStyle w:val="Heading3"/>
      </w:pPr>
      <w:bookmarkStart w:id="13" w:name="_Toc150177062"/>
      <w:r>
        <w:t>Appendix</w:t>
      </w:r>
      <w:bookmarkEnd w:id="13"/>
    </w:p>
    <w:p w14:paraId="390FA865" w14:textId="77BE6C1C" w:rsidR="002912B3" w:rsidRPr="002912B3" w:rsidRDefault="0061558E" w:rsidP="002912B3">
      <w:hyperlink r:id="rId11" w:history="1">
        <w:r>
          <w:rPr>
            <w:rStyle w:val="Hyperlink"/>
            <w:rFonts w:ascii="Calibri" w:hAnsi="Calibri" w:cs="Calibri"/>
            <w:sz w:val="22"/>
            <w:shd w:val="clear" w:color="auto" w:fill="FFFFFF"/>
          </w:rPr>
          <w:t>Appendix 1 - Caldicott Principles</w:t>
        </w:r>
      </w:hyperlink>
      <w:r>
        <w:rPr>
          <w:rFonts w:ascii="Calibri" w:hAnsi="Calibri" w:cs="Calibri"/>
          <w:color w:val="444444"/>
          <w:sz w:val="22"/>
          <w:shd w:val="clear" w:color="auto" w:fill="FFFFFF"/>
        </w:rPr>
        <w:t xml:space="preserve"> </w:t>
      </w:r>
    </w:p>
    <w:sectPr w:rsidR="002912B3" w:rsidRPr="002912B3" w:rsidSect="00D9657A">
      <w:headerReference w:type="default" r:id="rId12"/>
      <w:footerReference w:type="default" r:id="rId13"/>
      <w:headerReference w:type="first" r:id="rId14"/>
      <w:footerReference w:type="first" r:id="rId15"/>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3A030" w14:textId="77777777" w:rsidR="006E6859" w:rsidRDefault="006E6859">
      <w:r>
        <w:separator/>
      </w:r>
    </w:p>
  </w:endnote>
  <w:endnote w:type="continuationSeparator" w:id="0">
    <w:p w14:paraId="5834BA65" w14:textId="77777777" w:rsidR="006E6859" w:rsidRDefault="006E6859">
      <w:r>
        <w:continuationSeparator/>
      </w:r>
    </w:p>
  </w:endnote>
  <w:endnote w:type="continuationNotice" w:id="1">
    <w:p w14:paraId="14C716E7" w14:textId="77777777" w:rsidR="006E6859" w:rsidRDefault="006E6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E970C" w14:textId="77777777" w:rsidR="006E6859" w:rsidRDefault="006E6859">
      <w:bookmarkStart w:id="0" w:name="_Hlk83390648"/>
      <w:bookmarkEnd w:id="0"/>
      <w:r>
        <w:separator/>
      </w:r>
    </w:p>
  </w:footnote>
  <w:footnote w:type="continuationSeparator" w:id="0">
    <w:p w14:paraId="52D12094" w14:textId="77777777" w:rsidR="006E6859" w:rsidRDefault="006E6859">
      <w:r>
        <w:continuationSeparator/>
      </w:r>
    </w:p>
  </w:footnote>
  <w:footnote w:type="continuationNotice" w:id="1">
    <w:p w14:paraId="7515B2D7" w14:textId="77777777" w:rsidR="006E6859" w:rsidRDefault="006E6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669E" w14:textId="6D333EED" w:rsidR="00CE7615" w:rsidRPr="00CE7615" w:rsidRDefault="001A42BD" w:rsidP="00CE7615">
    <w:pPr>
      <w:pStyle w:val="Header"/>
    </w:pPr>
    <w:fldSimple w:instr=" FILENAME \* MERGEFORMAT ">
      <w:r>
        <w:rPr>
          <w:noProof/>
        </w:rPr>
        <w:t>Confidentiality</w:t>
      </w:r>
    </w:fldSimple>
    <w:fldSimple w:instr=" FILENAME \* MERGEFORMAT "/>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246C1"/>
    <w:multiLevelType w:val="hybridMultilevel"/>
    <w:tmpl w:val="119E1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965"/>
    <w:multiLevelType w:val="hybridMultilevel"/>
    <w:tmpl w:val="D69469D6"/>
    <w:lvl w:ilvl="0" w:tplc="2DBCF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1661C"/>
    <w:multiLevelType w:val="hybridMultilevel"/>
    <w:tmpl w:val="0FC0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9045E"/>
    <w:multiLevelType w:val="hybridMultilevel"/>
    <w:tmpl w:val="FF6A14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4C0B5F"/>
    <w:multiLevelType w:val="hybridMultilevel"/>
    <w:tmpl w:val="F750842A"/>
    <w:lvl w:ilvl="0" w:tplc="95BCD14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6247EC"/>
    <w:multiLevelType w:val="hybridMultilevel"/>
    <w:tmpl w:val="F45E525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A6C16"/>
    <w:multiLevelType w:val="hybridMultilevel"/>
    <w:tmpl w:val="BE1E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5628F"/>
    <w:multiLevelType w:val="hybridMultilevel"/>
    <w:tmpl w:val="B8A0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6979E9"/>
    <w:multiLevelType w:val="hybridMultilevel"/>
    <w:tmpl w:val="B4B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767CF"/>
    <w:multiLevelType w:val="hybridMultilevel"/>
    <w:tmpl w:val="6B482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2127F63"/>
    <w:multiLevelType w:val="hybridMultilevel"/>
    <w:tmpl w:val="A5B24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F0EDC"/>
    <w:multiLevelType w:val="hybridMultilevel"/>
    <w:tmpl w:val="5BB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4E3B7A"/>
    <w:multiLevelType w:val="hybridMultilevel"/>
    <w:tmpl w:val="D6A2BC0C"/>
    <w:lvl w:ilvl="0" w:tplc="0809000F">
      <w:start w:val="1"/>
      <w:numFmt w:val="decimal"/>
      <w:lvlText w:val="%1."/>
      <w:lvlJc w:val="left"/>
      <w:pPr>
        <w:ind w:left="720" w:hanging="360"/>
      </w:pPr>
      <w:rPr>
        <w:rFonts w:hint="default"/>
      </w:rPr>
    </w:lvl>
    <w:lvl w:ilvl="1" w:tplc="D03E6E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E756CB"/>
    <w:multiLevelType w:val="hybridMultilevel"/>
    <w:tmpl w:val="1AEC12C4"/>
    <w:lvl w:ilvl="0" w:tplc="476A395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A7FA2"/>
    <w:multiLevelType w:val="hybridMultilevel"/>
    <w:tmpl w:val="919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E1123"/>
    <w:multiLevelType w:val="hybridMultilevel"/>
    <w:tmpl w:val="4984A0FC"/>
    <w:lvl w:ilvl="0" w:tplc="FFFFFFFF">
      <w:start w:val="1"/>
      <w:numFmt w:val="bullet"/>
      <w:lvlText w:val=""/>
      <w:lvlJc w:val="left"/>
      <w:pPr>
        <w:ind w:left="21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5" w15:restartNumberingAfterBreak="0">
    <w:nsid w:val="59AA2A2D"/>
    <w:multiLevelType w:val="hybridMultilevel"/>
    <w:tmpl w:val="5C86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E34F0"/>
    <w:multiLevelType w:val="hybridMultilevel"/>
    <w:tmpl w:val="666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46FBA"/>
    <w:multiLevelType w:val="hybridMultilevel"/>
    <w:tmpl w:val="18C8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72174"/>
    <w:multiLevelType w:val="hybridMultilevel"/>
    <w:tmpl w:val="0510BAB0"/>
    <w:lvl w:ilvl="0" w:tplc="95BCD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862F6"/>
    <w:multiLevelType w:val="hybridMultilevel"/>
    <w:tmpl w:val="4F9680E6"/>
    <w:lvl w:ilvl="0" w:tplc="A2284E1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B09B5"/>
    <w:multiLevelType w:val="hybridMultilevel"/>
    <w:tmpl w:val="4E8822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A161F"/>
    <w:multiLevelType w:val="hybridMultilevel"/>
    <w:tmpl w:val="C6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582E4F"/>
    <w:multiLevelType w:val="hybridMultilevel"/>
    <w:tmpl w:val="F892B7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29"/>
  </w:num>
  <w:num w:numId="2" w16cid:durableId="653028147">
    <w:abstractNumId w:val="4"/>
  </w:num>
  <w:num w:numId="3" w16cid:durableId="1220703856">
    <w:abstractNumId w:val="0"/>
  </w:num>
  <w:num w:numId="4" w16cid:durableId="572087689">
    <w:abstractNumId w:val="10"/>
  </w:num>
  <w:num w:numId="5" w16cid:durableId="1838034515">
    <w:abstractNumId w:val="16"/>
  </w:num>
  <w:num w:numId="6" w16cid:durableId="307321873">
    <w:abstractNumId w:val="12"/>
  </w:num>
  <w:num w:numId="7" w16cid:durableId="1406995691">
    <w:abstractNumId w:val="31"/>
  </w:num>
  <w:num w:numId="8" w16cid:durableId="534853865">
    <w:abstractNumId w:val="33"/>
  </w:num>
  <w:num w:numId="9" w16cid:durableId="170265117">
    <w:abstractNumId w:val="21"/>
  </w:num>
  <w:num w:numId="10" w16cid:durableId="1666278557">
    <w:abstractNumId w:val="11"/>
  </w:num>
  <w:num w:numId="11" w16cid:durableId="1459642739">
    <w:abstractNumId w:val="2"/>
  </w:num>
  <w:num w:numId="12" w16cid:durableId="1078670004">
    <w:abstractNumId w:val="3"/>
  </w:num>
  <w:num w:numId="13" w16cid:durableId="900478350">
    <w:abstractNumId w:val="14"/>
  </w:num>
  <w:num w:numId="14" w16cid:durableId="1098065557">
    <w:abstractNumId w:val="28"/>
  </w:num>
  <w:num w:numId="15" w16cid:durableId="1558736690">
    <w:abstractNumId w:val="5"/>
  </w:num>
  <w:num w:numId="16" w16cid:durableId="707267710">
    <w:abstractNumId w:val="20"/>
  </w:num>
  <w:num w:numId="17" w16cid:durableId="324477086">
    <w:abstractNumId w:val="27"/>
  </w:num>
  <w:num w:numId="18" w16cid:durableId="2033995471">
    <w:abstractNumId w:val="8"/>
  </w:num>
  <w:num w:numId="19" w16cid:durableId="647436710">
    <w:abstractNumId w:val="17"/>
  </w:num>
  <w:num w:numId="20" w16cid:durableId="202211075">
    <w:abstractNumId w:val="25"/>
  </w:num>
  <w:num w:numId="21" w16cid:durableId="884489546">
    <w:abstractNumId w:val="34"/>
  </w:num>
  <w:num w:numId="22" w16cid:durableId="1803880869">
    <w:abstractNumId w:val="15"/>
  </w:num>
  <w:num w:numId="23" w16cid:durableId="1838692917">
    <w:abstractNumId w:val="26"/>
  </w:num>
  <w:num w:numId="24" w16cid:durableId="1739862553">
    <w:abstractNumId w:val="9"/>
  </w:num>
  <w:num w:numId="25" w16cid:durableId="682898025">
    <w:abstractNumId w:val="24"/>
  </w:num>
  <w:num w:numId="26" w16cid:durableId="460729504">
    <w:abstractNumId w:val="19"/>
  </w:num>
  <w:num w:numId="27" w16cid:durableId="2001225082">
    <w:abstractNumId w:val="6"/>
  </w:num>
  <w:num w:numId="28" w16cid:durableId="1406486588">
    <w:abstractNumId w:val="35"/>
  </w:num>
  <w:num w:numId="29" w16cid:durableId="539123619">
    <w:abstractNumId w:val="18"/>
  </w:num>
  <w:num w:numId="30" w16cid:durableId="2108694586">
    <w:abstractNumId w:val="7"/>
  </w:num>
  <w:num w:numId="31" w16cid:durableId="2007004659">
    <w:abstractNumId w:val="13"/>
  </w:num>
  <w:num w:numId="32" w16cid:durableId="1359694160">
    <w:abstractNumId w:val="30"/>
  </w:num>
  <w:num w:numId="33" w16cid:durableId="1937640586">
    <w:abstractNumId w:val="23"/>
  </w:num>
  <w:num w:numId="34" w16cid:durableId="380397939">
    <w:abstractNumId w:val="22"/>
  </w:num>
  <w:num w:numId="35" w16cid:durableId="1022786514">
    <w:abstractNumId w:val="32"/>
  </w:num>
  <w:num w:numId="36" w16cid:durableId="199179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00847"/>
    <w:rsid w:val="00016E78"/>
    <w:rsid w:val="00026CB7"/>
    <w:rsid w:val="00046E9A"/>
    <w:rsid w:val="000610D1"/>
    <w:rsid w:val="000629BA"/>
    <w:rsid w:val="00062C1F"/>
    <w:rsid w:val="0006780F"/>
    <w:rsid w:val="000943C9"/>
    <w:rsid w:val="00094F84"/>
    <w:rsid w:val="000951EC"/>
    <w:rsid w:val="000A2521"/>
    <w:rsid w:val="000B66DD"/>
    <w:rsid w:val="000C43EE"/>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A42BD"/>
    <w:rsid w:val="001B0491"/>
    <w:rsid w:val="001C4E40"/>
    <w:rsid w:val="001C69E3"/>
    <w:rsid w:val="001F3DFC"/>
    <w:rsid w:val="00206D50"/>
    <w:rsid w:val="0023193D"/>
    <w:rsid w:val="002452A9"/>
    <w:rsid w:val="002708D1"/>
    <w:rsid w:val="0027608C"/>
    <w:rsid w:val="00290501"/>
    <w:rsid w:val="002912B3"/>
    <w:rsid w:val="00291CE2"/>
    <w:rsid w:val="002A29D5"/>
    <w:rsid w:val="002B5C33"/>
    <w:rsid w:val="002C6A6C"/>
    <w:rsid w:val="002D3EEA"/>
    <w:rsid w:val="00330F2D"/>
    <w:rsid w:val="00340CED"/>
    <w:rsid w:val="00340ECB"/>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4D47B6"/>
    <w:rsid w:val="00591F0A"/>
    <w:rsid w:val="005972AE"/>
    <w:rsid w:val="005A03D3"/>
    <w:rsid w:val="005A0A13"/>
    <w:rsid w:val="005A25FD"/>
    <w:rsid w:val="005A450F"/>
    <w:rsid w:val="005C1903"/>
    <w:rsid w:val="005C3B9F"/>
    <w:rsid w:val="005D5E64"/>
    <w:rsid w:val="005D6428"/>
    <w:rsid w:val="005E2B12"/>
    <w:rsid w:val="005E467F"/>
    <w:rsid w:val="005F30E0"/>
    <w:rsid w:val="005F6118"/>
    <w:rsid w:val="00610746"/>
    <w:rsid w:val="0061558E"/>
    <w:rsid w:val="00624E01"/>
    <w:rsid w:val="00626B5C"/>
    <w:rsid w:val="006326F6"/>
    <w:rsid w:val="00632A16"/>
    <w:rsid w:val="006534D5"/>
    <w:rsid w:val="00665F49"/>
    <w:rsid w:val="0067006D"/>
    <w:rsid w:val="00670D83"/>
    <w:rsid w:val="006967BB"/>
    <w:rsid w:val="006B3A6C"/>
    <w:rsid w:val="006D209A"/>
    <w:rsid w:val="006E27C9"/>
    <w:rsid w:val="006E5B54"/>
    <w:rsid w:val="006E6859"/>
    <w:rsid w:val="006F6FC7"/>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E2B"/>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6709"/>
    <w:rsid w:val="009A1784"/>
    <w:rsid w:val="009B79E0"/>
    <w:rsid w:val="009E2B7C"/>
    <w:rsid w:val="009E56CD"/>
    <w:rsid w:val="009E59C1"/>
    <w:rsid w:val="00A025D0"/>
    <w:rsid w:val="00A151E1"/>
    <w:rsid w:val="00A3320D"/>
    <w:rsid w:val="00A53B2B"/>
    <w:rsid w:val="00A57709"/>
    <w:rsid w:val="00A649C4"/>
    <w:rsid w:val="00A91497"/>
    <w:rsid w:val="00A92886"/>
    <w:rsid w:val="00A928AA"/>
    <w:rsid w:val="00AA5817"/>
    <w:rsid w:val="00AB70FE"/>
    <w:rsid w:val="00AE0785"/>
    <w:rsid w:val="00AF10DB"/>
    <w:rsid w:val="00B11C4B"/>
    <w:rsid w:val="00B5486C"/>
    <w:rsid w:val="00B64BB9"/>
    <w:rsid w:val="00B677BB"/>
    <w:rsid w:val="00B738B0"/>
    <w:rsid w:val="00B75A1C"/>
    <w:rsid w:val="00B80C15"/>
    <w:rsid w:val="00B8488E"/>
    <w:rsid w:val="00B85294"/>
    <w:rsid w:val="00B97285"/>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4A6"/>
    <w:rsid w:val="00D35919"/>
    <w:rsid w:val="00D50431"/>
    <w:rsid w:val="00D50867"/>
    <w:rsid w:val="00D5145C"/>
    <w:rsid w:val="00D53BEB"/>
    <w:rsid w:val="00D60707"/>
    <w:rsid w:val="00D620DC"/>
    <w:rsid w:val="00D701CB"/>
    <w:rsid w:val="00D85A2A"/>
    <w:rsid w:val="00D9657A"/>
    <w:rsid w:val="00DA1B9A"/>
    <w:rsid w:val="00DA7A66"/>
    <w:rsid w:val="00DB5239"/>
    <w:rsid w:val="00DC5D01"/>
    <w:rsid w:val="00DD4CD4"/>
    <w:rsid w:val="00DE2414"/>
    <w:rsid w:val="00DE3E71"/>
    <w:rsid w:val="00E01678"/>
    <w:rsid w:val="00E105E3"/>
    <w:rsid w:val="00E10E6D"/>
    <w:rsid w:val="00E15D9B"/>
    <w:rsid w:val="00E21E32"/>
    <w:rsid w:val="00E368CD"/>
    <w:rsid w:val="00E40EBF"/>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1C2"/>
    <w:rsid w:val="00F71CCA"/>
    <w:rsid w:val="00F902FE"/>
    <w:rsid w:val="00F931C4"/>
    <w:rsid w:val="00F93B59"/>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F910153E-7CDD-4A17-84EC-BEDE6FAA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340ECB"/>
    <w:pPr>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11204">
      <w:bodyDiv w:val="1"/>
      <w:marLeft w:val="0"/>
      <w:marRight w:val="0"/>
      <w:marTop w:val="0"/>
      <w:marBottom w:val="0"/>
      <w:divBdr>
        <w:top w:val="none" w:sz="0" w:space="0" w:color="auto"/>
        <w:left w:val="none" w:sz="0" w:space="0" w:color="auto"/>
        <w:bottom w:val="none" w:sz="0" w:space="0" w:color="auto"/>
        <w:right w:val="none" w:sz="0" w:space="0" w:color="auto"/>
      </w:divBdr>
      <w:divsChild>
        <w:div w:id="1394506288">
          <w:marLeft w:val="0"/>
          <w:marRight w:val="0"/>
          <w:marTop w:val="0"/>
          <w:marBottom w:val="0"/>
          <w:divBdr>
            <w:top w:val="none" w:sz="0" w:space="0" w:color="auto"/>
            <w:left w:val="none" w:sz="0" w:space="0" w:color="auto"/>
            <w:bottom w:val="none" w:sz="0" w:space="0" w:color="auto"/>
            <w:right w:val="none" w:sz="0" w:space="0" w:color="auto"/>
          </w:divBdr>
        </w:div>
      </w:divsChild>
    </w:div>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3617273.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2.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3.xml><?xml version="1.0" encoding="utf-8"?>
<ds:datastoreItem xmlns:ds="http://schemas.openxmlformats.org/officeDocument/2006/customXml" ds:itemID="{9F16E2DC-771A-4E36-9D32-8FC82509C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DF5E9-BCA6-40A3-BB1B-C24636DC7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Westmorland%20Furness%20Doc.dotx</Template>
  <TotalTime>45</TotalTime>
  <Pages>1</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4671</CharactersWithSpaces>
  <SharedDoc>false</SharedDoc>
  <HLinks>
    <vt:vector size="48" baseType="variant">
      <vt:variant>
        <vt:i4>786450</vt:i4>
      </vt:variant>
      <vt:variant>
        <vt:i4>45</vt:i4>
      </vt:variant>
      <vt:variant>
        <vt:i4>0</vt:i4>
      </vt:variant>
      <vt:variant>
        <vt:i4>5</vt:i4>
      </vt:variant>
      <vt:variant>
        <vt:lpwstr>https://cumbria.gov.uk/elibrary/Content/Internet/327/38541/38630/4523617273.docx</vt:lpwstr>
      </vt:variant>
      <vt:variant>
        <vt:lpwstr/>
      </vt:variant>
      <vt:variant>
        <vt:i4>1179702</vt:i4>
      </vt:variant>
      <vt:variant>
        <vt:i4>38</vt:i4>
      </vt:variant>
      <vt:variant>
        <vt:i4>0</vt:i4>
      </vt:variant>
      <vt:variant>
        <vt:i4>5</vt:i4>
      </vt:variant>
      <vt:variant>
        <vt:lpwstr/>
      </vt:variant>
      <vt:variant>
        <vt:lpwstr>_Toc150177062</vt:lpwstr>
      </vt:variant>
      <vt:variant>
        <vt:i4>1179702</vt:i4>
      </vt:variant>
      <vt:variant>
        <vt:i4>32</vt:i4>
      </vt:variant>
      <vt:variant>
        <vt:i4>0</vt:i4>
      </vt:variant>
      <vt:variant>
        <vt:i4>5</vt:i4>
      </vt:variant>
      <vt:variant>
        <vt:lpwstr/>
      </vt:variant>
      <vt:variant>
        <vt:lpwstr>_Toc150177061</vt:lpwstr>
      </vt:variant>
      <vt:variant>
        <vt:i4>1179702</vt:i4>
      </vt:variant>
      <vt:variant>
        <vt:i4>26</vt:i4>
      </vt:variant>
      <vt:variant>
        <vt:i4>0</vt:i4>
      </vt:variant>
      <vt:variant>
        <vt:i4>5</vt:i4>
      </vt:variant>
      <vt:variant>
        <vt:lpwstr/>
      </vt:variant>
      <vt:variant>
        <vt:lpwstr>_Toc150177060</vt:lpwstr>
      </vt:variant>
      <vt:variant>
        <vt:i4>1114166</vt:i4>
      </vt:variant>
      <vt:variant>
        <vt:i4>20</vt:i4>
      </vt:variant>
      <vt:variant>
        <vt:i4>0</vt:i4>
      </vt:variant>
      <vt:variant>
        <vt:i4>5</vt:i4>
      </vt:variant>
      <vt:variant>
        <vt:lpwstr/>
      </vt:variant>
      <vt:variant>
        <vt:lpwstr>_Toc150177059</vt:lpwstr>
      </vt:variant>
      <vt:variant>
        <vt:i4>1114166</vt:i4>
      </vt:variant>
      <vt:variant>
        <vt:i4>14</vt:i4>
      </vt:variant>
      <vt:variant>
        <vt:i4>0</vt:i4>
      </vt:variant>
      <vt:variant>
        <vt:i4>5</vt:i4>
      </vt:variant>
      <vt:variant>
        <vt:lpwstr/>
      </vt:variant>
      <vt:variant>
        <vt:lpwstr>_Toc150177058</vt:lpwstr>
      </vt:variant>
      <vt:variant>
        <vt:i4>1114166</vt:i4>
      </vt:variant>
      <vt:variant>
        <vt:i4>8</vt:i4>
      </vt:variant>
      <vt:variant>
        <vt:i4>0</vt:i4>
      </vt:variant>
      <vt:variant>
        <vt:i4>5</vt:i4>
      </vt:variant>
      <vt:variant>
        <vt:lpwstr/>
      </vt:variant>
      <vt:variant>
        <vt:lpwstr>_Toc150177057</vt:lpwstr>
      </vt:variant>
      <vt:variant>
        <vt:i4>1114166</vt:i4>
      </vt:variant>
      <vt:variant>
        <vt:i4>2</vt:i4>
      </vt:variant>
      <vt:variant>
        <vt:i4>0</vt:i4>
      </vt:variant>
      <vt:variant>
        <vt:i4>5</vt:i4>
      </vt:variant>
      <vt:variant>
        <vt:lpwstr/>
      </vt:variant>
      <vt:variant>
        <vt:lpwstr>_Toc150177056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Davis, Emma</cp:lastModifiedBy>
  <cp:revision>11</cp:revision>
  <cp:lastPrinted>2012-11-13T18:25:00Z</cp:lastPrinted>
  <dcterms:created xsi:type="dcterms:W3CDTF">2023-10-18T14:05:00Z</dcterms:created>
  <dcterms:modified xsi:type="dcterms:W3CDTF">2023-11-07T02:44:00Z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